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sz w:val="44"/>
          <w:szCs w:val="44"/>
          <w:highlight w:val="none"/>
        </w:rPr>
      </w:pPr>
      <w:bookmarkStart w:id="0" w:name="OLE_LINK62"/>
      <w:bookmarkStart w:id="1" w:name="OLE_LINK63"/>
    </w:p>
    <w:p>
      <w:pPr>
        <w:widowControl/>
        <w:snapToGrid w:val="0"/>
        <w:spacing w:line="560" w:lineRule="exact"/>
        <w:jc w:val="center"/>
        <w:outlineLvl w:val="0"/>
        <w:rPr>
          <w:rFonts w:hint="default" w:ascii="Times New Roman" w:hAnsi="Times New Roman" w:eastAsia="方正小标宋简体" w:cs="Times New Roman"/>
          <w:sz w:val="44"/>
          <w:szCs w:val="44"/>
          <w:highlight w:val="none"/>
          <w:lang w:val="en-US" w:eastAsia="zh-CN"/>
        </w:rPr>
      </w:pPr>
      <w:bookmarkStart w:id="2" w:name="_Toc4634"/>
      <w:bookmarkStart w:id="3" w:name="_Toc20216"/>
      <w:bookmarkStart w:id="4" w:name="_Toc27929"/>
      <w:bookmarkStart w:id="5" w:name="_Toc8465"/>
      <w:bookmarkStart w:id="6" w:name="_Toc21179"/>
      <w:r>
        <w:rPr>
          <w:rFonts w:ascii="Times New Roman" w:hAnsi="Times New Roman" w:eastAsia="方正小标宋简体" w:cs="Times New Roman"/>
          <w:sz w:val="44"/>
          <w:szCs w:val="44"/>
          <w:highlight w:val="none"/>
        </w:rPr>
        <w:t>三教统筹协同创新</w:t>
      </w:r>
      <w:r>
        <w:rPr>
          <w:rFonts w:hint="eastAsia" w:ascii="Times New Roman" w:hAnsi="Times New Roman" w:eastAsia="方正小标宋简体" w:cs="Times New Roman"/>
          <w:sz w:val="44"/>
          <w:szCs w:val="44"/>
          <w:highlight w:val="none"/>
          <w:lang w:val="en-US" w:eastAsia="zh-CN"/>
        </w:rPr>
        <w:t>任务申报</w:t>
      </w:r>
      <w:bookmarkEnd w:id="2"/>
      <w:bookmarkEnd w:id="3"/>
      <w:bookmarkEnd w:id="4"/>
      <w:bookmarkEnd w:id="5"/>
      <w:bookmarkEnd w:id="6"/>
      <w:r>
        <w:rPr>
          <w:rFonts w:hint="eastAsia" w:ascii="Times New Roman" w:hAnsi="Times New Roman" w:eastAsia="方正小标宋简体" w:cs="Times New Roman"/>
          <w:sz w:val="44"/>
          <w:szCs w:val="44"/>
          <w:highlight w:val="none"/>
          <w:lang w:val="en-US" w:eastAsia="zh-CN"/>
        </w:rPr>
        <w:t>指南</w:t>
      </w:r>
    </w:p>
    <w:p>
      <w:pPr>
        <w:spacing w:line="560" w:lineRule="exact"/>
        <w:ind w:firstLine="640" w:firstLineChars="200"/>
        <w:rPr>
          <w:rFonts w:hint="default" w:ascii="Times New Roman" w:hAnsi="Times New Roman" w:eastAsia="仿宋_GB2312" w:cs="Times New Roman"/>
          <w:highlight w:val="none"/>
        </w:rPr>
      </w:pPr>
    </w:p>
    <w:p>
      <w:pPr>
        <w:spacing w:line="560" w:lineRule="exact"/>
        <w:ind w:firstLine="640" w:firstLineChars="200"/>
        <w:rPr>
          <w:rFonts w:hint="default" w:ascii="Times New Roman" w:hAnsi="Times New Roman" w:eastAsia="仿宋" w:cs="Times New Roman"/>
          <w:highlight w:val="yellow"/>
        </w:rPr>
      </w:pPr>
      <w:r>
        <w:rPr>
          <w:rFonts w:ascii="Times New Roman" w:hAnsi="Times New Roman" w:eastAsia="仿宋" w:cs="Times New Roman"/>
          <w:color w:val="auto"/>
          <w:highlight w:val="none"/>
        </w:rPr>
        <w:t>为深入</w:t>
      </w:r>
      <w:r>
        <w:rPr>
          <w:rFonts w:hint="eastAsia" w:ascii="Times New Roman" w:hAnsi="Times New Roman" w:eastAsia="仿宋" w:cs="Times New Roman"/>
        </w:rPr>
        <w:t>贯彻党的二十大精神，引导高校和地方积极探索，</w:t>
      </w:r>
      <w:r>
        <w:rPr>
          <w:rFonts w:ascii="Times New Roman" w:hAnsi="Times New Roman" w:eastAsia="仿宋" w:cs="Times New Roman"/>
          <w:color w:val="auto"/>
          <w:highlight w:val="none"/>
        </w:rPr>
        <w:t>推进职业教育、高等教育、继续教育统</w:t>
      </w:r>
      <w:bookmarkStart w:id="7" w:name="_GoBack"/>
      <w:bookmarkEnd w:id="7"/>
      <w:r>
        <w:rPr>
          <w:rFonts w:ascii="Times New Roman" w:hAnsi="Times New Roman" w:eastAsia="仿宋" w:cs="Times New Roman"/>
          <w:color w:val="auto"/>
          <w:highlight w:val="none"/>
        </w:rPr>
        <w:t>筹协同创新，特制定</w:t>
      </w:r>
      <w:r>
        <w:rPr>
          <w:rFonts w:hint="default" w:ascii="Times New Roman" w:hAnsi="Times New Roman" w:eastAsia="仿宋" w:cs="Times New Roman"/>
          <w:color w:val="auto"/>
          <w:highlight w:val="none"/>
        </w:rPr>
        <w:t>本</w:t>
      </w:r>
      <w:r>
        <w:rPr>
          <w:rFonts w:hint="eastAsia" w:ascii="Times New Roman" w:hAnsi="Times New Roman" w:eastAsia="仿宋" w:cs="Times New Roman"/>
          <w:color w:val="auto"/>
          <w:highlight w:val="none"/>
          <w:lang w:val="en-US" w:eastAsia="zh-CN"/>
        </w:rPr>
        <w:t>指南</w:t>
      </w:r>
      <w:r>
        <w:rPr>
          <w:rFonts w:ascii="Times New Roman" w:hAnsi="Times New Roman" w:eastAsia="仿宋" w:cs="Times New Roman"/>
          <w:color w:val="auto"/>
          <w:highlight w:val="none"/>
        </w:rPr>
        <w:t>。</w:t>
      </w:r>
    </w:p>
    <w:p>
      <w:pPr>
        <w:numPr>
          <w:ilvl w:val="0"/>
          <w:numId w:val="0"/>
        </w:numPr>
        <w:spacing w:line="560" w:lineRule="exact"/>
        <w:ind w:firstLine="640" w:firstLineChars="200"/>
        <w:rPr>
          <w:rFonts w:hint="default" w:ascii="Times New Roman" w:hAnsi="Times New Roman" w:eastAsia="黑体" w:cs="Times New Roman"/>
          <w:highlight w:val="none"/>
        </w:rPr>
      </w:pPr>
      <w:r>
        <w:rPr>
          <w:rFonts w:hint="default" w:ascii="Times New Roman" w:hAnsi="Times New Roman" w:eastAsia="黑体" w:cs="Times New Roman"/>
          <w:highlight w:val="none"/>
          <w:lang w:val="en-US" w:eastAsia="zh-CN"/>
        </w:rPr>
        <w:t>一、</w:t>
      </w:r>
      <w:r>
        <w:rPr>
          <w:rFonts w:ascii="Times New Roman" w:hAnsi="Times New Roman" w:eastAsia="黑体" w:cs="Times New Roman"/>
          <w:highlight w:val="none"/>
        </w:rPr>
        <w:t>总体思路</w:t>
      </w:r>
    </w:p>
    <w:p>
      <w:pPr>
        <w:spacing w:line="560" w:lineRule="exact"/>
        <w:ind w:firstLine="640" w:firstLineChars="200"/>
        <w:rPr>
          <w:rFonts w:hint="default" w:ascii="Times New Roman" w:hAnsi="Times New Roman" w:eastAsia="仿宋" w:cs="Times New Roman"/>
          <w:highlight w:val="none"/>
        </w:rPr>
      </w:pPr>
      <w:r>
        <w:rPr>
          <w:rFonts w:hint="default" w:ascii="Times New Roman" w:hAnsi="Times New Roman" w:eastAsia="仿宋" w:cs="Times New Roman"/>
          <w:color w:val="auto"/>
          <w:highlight w:val="none"/>
          <w:lang w:eastAsia="zh-Hans"/>
        </w:rPr>
        <w:t>对接</w:t>
      </w:r>
      <w:r>
        <w:rPr>
          <w:rFonts w:ascii="Times New Roman" w:hAnsi="Times New Roman" w:eastAsia="仿宋" w:cs="Times New Roman"/>
          <w:color w:val="auto"/>
          <w:highlight w:val="none"/>
        </w:rPr>
        <w:t>国家人才资源战略需求，结合现代职业教育体系建设改革推进工程</w:t>
      </w:r>
      <w:r>
        <w:rPr>
          <w:rFonts w:hint="eastAsia" w:ascii="Times New Roman" w:hAnsi="Times New Roman" w:eastAsia="仿宋" w:cs="Times New Roman"/>
          <w:color w:val="auto"/>
          <w:highlight w:val="none"/>
        </w:rPr>
        <w:t>、高等教育综合改革工程的实施，</w:t>
      </w:r>
      <w:r>
        <w:rPr>
          <w:rFonts w:ascii="Times New Roman" w:hAnsi="Times New Roman" w:eastAsia="仿宋" w:cs="Times New Roman"/>
          <w:color w:val="auto"/>
          <w:highlight w:val="none"/>
        </w:rPr>
        <w:t>按照“集中资源、率先突破、带动整体”的原则，探索通过三教</w:t>
      </w:r>
      <w:r>
        <w:rPr>
          <w:rFonts w:hint="default" w:ascii="Times New Roman" w:hAnsi="Times New Roman" w:eastAsia="仿宋" w:cs="Times New Roman"/>
          <w:color w:val="auto"/>
          <w:highlight w:val="none"/>
          <w:lang w:eastAsia="zh-Hans"/>
        </w:rPr>
        <w:t>统筹</w:t>
      </w:r>
      <w:r>
        <w:rPr>
          <w:rFonts w:ascii="Times New Roman" w:hAnsi="Times New Roman" w:eastAsia="仿宋" w:cs="Times New Roman"/>
          <w:color w:val="auto"/>
          <w:highlight w:val="none"/>
        </w:rPr>
        <w:t>协同创新试点，有效联通和整合教育资源配置，协同构建职普融通、产教融合、</w:t>
      </w:r>
      <w:r>
        <w:rPr>
          <w:rFonts w:hint="default" w:ascii="Times New Roman" w:hAnsi="Times New Roman" w:eastAsia="仿宋" w:cs="Times New Roman"/>
          <w:color w:val="auto"/>
          <w:highlight w:val="none"/>
          <w:lang w:val="en-US"/>
        </w:rPr>
        <w:t>优势互补</w:t>
      </w:r>
      <w:r>
        <w:rPr>
          <w:rFonts w:ascii="Times New Roman" w:hAnsi="Times New Roman" w:eastAsia="仿宋" w:cs="Times New Roman"/>
          <w:color w:val="auto"/>
          <w:highlight w:val="none"/>
        </w:rPr>
        <w:t>的育人体系，</w:t>
      </w:r>
      <w:r>
        <w:rPr>
          <w:rFonts w:hint="eastAsia" w:ascii="Times New Roman" w:hAnsi="Times New Roman" w:eastAsia="仿宋" w:cs="Times New Roman"/>
          <w:color w:val="auto"/>
          <w:highlight w:val="none"/>
          <w:lang w:val="en-US" w:eastAsia="zh-CN"/>
        </w:rPr>
        <w:t>服务</w:t>
      </w:r>
      <w:r>
        <w:rPr>
          <w:rFonts w:ascii="Times New Roman" w:hAnsi="Times New Roman" w:eastAsia="仿宋" w:cs="Times New Roman"/>
          <w:color w:val="auto"/>
          <w:highlight w:val="none"/>
        </w:rPr>
        <w:t>教育强国建设，助力全面建设学习型社会</w:t>
      </w:r>
      <w:r>
        <w:rPr>
          <w:rFonts w:hint="eastAsia" w:ascii="Times New Roman" w:hAnsi="Times New Roman" w:eastAsia="仿宋" w:cs="Times New Roman"/>
          <w:color w:val="auto"/>
          <w:highlight w:val="none"/>
          <w:lang w:eastAsia="zh-CN"/>
        </w:rPr>
        <w:t>、</w:t>
      </w:r>
      <w:r>
        <w:rPr>
          <w:rFonts w:hint="eastAsia" w:ascii="Times New Roman" w:hAnsi="Times New Roman" w:eastAsia="仿宋" w:cs="Times New Roman"/>
          <w:color w:val="auto"/>
          <w:highlight w:val="none"/>
          <w:lang w:val="en-US" w:eastAsia="zh-CN"/>
        </w:rPr>
        <w:t>学习型大国</w:t>
      </w:r>
      <w:r>
        <w:rPr>
          <w:rFonts w:ascii="Times New Roman" w:hAnsi="Times New Roman" w:eastAsia="仿宋" w:cs="Times New Roman"/>
          <w:color w:val="auto"/>
          <w:highlight w:val="none"/>
        </w:rPr>
        <w:t>。</w:t>
      </w:r>
    </w:p>
    <w:p>
      <w:pPr>
        <w:pStyle w:val="25"/>
        <w:numPr>
          <w:ilvl w:val="0"/>
          <w:numId w:val="0"/>
        </w:numPr>
        <w:spacing w:line="560" w:lineRule="exact"/>
        <w:ind w:left="640" w:leftChars="0"/>
        <w:rPr>
          <w:rFonts w:hint="default" w:ascii="Times New Roman" w:hAnsi="Times New Roman" w:eastAsia="黑体" w:cs="Times New Roman"/>
          <w:highlight w:val="none"/>
        </w:rPr>
      </w:pPr>
      <w:r>
        <w:rPr>
          <w:rFonts w:hint="default" w:ascii="Times New Roman" w:hAnsi="Times New Roman" w:eastAsia="黑体" w:cs="Times New Roman"/>
          <w:highlight w:val="none"/>
          <w:lang w:val="en-US" w:eastAsia="zh-CN"/>
        </w:rPr>
        <w:t>二、</w:t>
      </w:r>
      <w:r>
        <w:rPr>
          <w:rFonts w:hint="eastAsia" w:ascii="Times New Roman" w:hAnsi="Times New Roman" w:eastAsia="黑体" w:cs="Times New Roman"/>
          <w:highlight w:val="none"/>
          <w:lang w:val="en-US" w:eastAsia="zh-CN"/>
        </w:rPr>
        <w:t>主要</w:t>
      </w:r>
      <w:r>
        <w:rPr>
          <w:rFonts w:ascii="Times New Roman" w:hAnsi="Times New Roman" w:eastAsia="黑体" w:cs="Times New Roman"/>
          <w:highlight w:val="none"/>
        </w:rPr>
        <w:t>目标</w:t>
      </w:r>
    </w:p>
    <w:p>
      <w:pPr>
        <w:spacing w:line="560" w:lineRule="exact"/>
        <w:ind w:firstLine="640" w:firstLineChars="200"/>
        <w:rPr>
          <w:rFonts w:hint="default" w:ascii="Times New Roman" w:hAnsi="Times New Roman" w:eastAsia="仿宋" w:cs="Times New Roman"/>
          <w:highlight w:val="none"/>
        </w:rPr>
      </w:pPr>
      <w:r>
        <w:rPr>
          <w:rFonts w:hint="eastAsia" w:ascii="Times New Roman" w:hAnsi="Times New Roman" w:eastAsia="仿宋" w:cs="Times New Roman"/>
          <w:color w:val="auto"/>
          <w:highlight w:val="none"/>
        </w:rPr>
        <w:t>2023—2025年，每年培育50个左右高校创新探索案例</w:t>
      </w:r>
      <w:r>
        <w:rPr>
          <w:rFonts w:hint="default" w:ascii="Times New Roman" w:hAnsi="Times New Roman" w:eastAsia="仿宋" w:cs="Times New Roman"/>
          <w:color w:val="auto"/>
          <w:highlight w:val="none"/>
          <w:lang w:val="en-US" w:eastAsia="zh-CN"/>
        </w:rPr>
        <w:t>，</w:t>
      </w:r>
      <w:r>
        <w:rPr>
          <w:rFonts w:ascii="Times New Roman" w:hAnsi="Times New Roman" w:eastAsia="仿宋" w:cs="Times New Roman"/>
          <w:color w:val="auto"/>
          <w:highlight w:val="none"/>
        </w:rPr>
        <w:t>在地方教育行政部门指导下，有效联通和整合教育资源，开展先行先试与实践创新，沉淀三教协同发展、合力育人经验</w:t>
      </w:r>
      <w:r>
        <w:rPr>
          <w:rFonts w:hint="eastAsia" w:ascii="Times New Roman" w:hAnsi="Times New Roman" w:eastAsia="仿宋" w:cs="Times New Roman"/>
          <w:color w:val="auto"/>
          <w:highlight w:val="none"/>
          <w:lang w:eastAsia="zh-CN"/>
        </w:rPr>
        <w:t>。</w:t>
      </w:r>
      <w:r>
        <w:rPr>
          <w:rFonts w:hint="eastAsia" w:ascii="Times New Roman" w:hAnsi="Times New Roman" w:eastAsia="仿宋" w:cs="Times New Roman"/>
          <w:color w:val="auto"/>
          <w:highlight w:val="none"/>
          <w:lang w:val="en-US" w:eastAsia="zh-CN"/>
        </w:rPr>
        <w:t>在院校积极参与的基础上，支持若干</w:t>
      </w:r>
      <w:r>
        <w:rPr>
          <w:rFonts w:ascii="Times New Roman" w:hAnsi="Times New Roman" w:eastAsia="仿宋" w:cs="Times New Roman"/>
          <w:color w:val="auto"/>
          <w:highlight w:val="none"/>
        </w:rPr>
        <w:t>有基础</w:t>
      </w:r>
      <w:r>
        <w:rPr>
          <w:rFonts w:hint="eastAsia" w:ascii="Times New Roman" w:hAnsi="Times New Roman" w:eastAsia="仿宋" w:cs="Times New Roman"/>
          <w:color w:val="auto"/>
          <w:highlight w:val="none"/>
          <w:lang w:eastAsia="zh-CN"/>
        </w:rPr>
        <w:t>、</w:t>
      </w:r>
      <w:r>
        <w:rPr>
          <w:rFonts w:ascii="Times New Roman" w:hAnsi="Times New Roman" w:eastAsia="仿宋" w:cs="Times New Roman"/>
          <w:color w:val="auto"/>
          <w:highlight w:val="none"/>
        </w:rPr>
        <w:t>有意愿的</w:t>
      </w:r>
      <w:r>
        <w:rPr>
          <w:rFonts w:hint="eastAsia" w:ascii="Times New Roman" w:hAnsi="Times New Roman" w:eastAsia="仿宋" w:cs="Times New Roman"/>
          <w:color w:val="auto"/>
          <w:highlight w:val="none"/>
          <w:lang w:val="en-US" w:eastAsia="zh-CN"/>
        </w:rPr>
        <w:t>地方“一地一策”整体推进</w:t>
      </w:r>
      <w:r>
        <w:rPr>
          <w:rFonts w:ascii="Times New Roman" w:hAnsi="Times New Roman" w:eastAsia="仿宋" w:cs="Times New Roman"/>
          <w:color w:val="auto"/>
          <w:highlight w:val="none"/>
        </w:rPr>
        <w:t>三教统筹协同创新，</w:t>
      </w:r>
      <w:r>
        <w:rPr>
          <w:rFonts w:hint="default" w:ascii="Times New Roman" w:hAnsi="Times New Roman" w:eastAsia="仿宋" w:cs="Times New Roman"/>
          <w:color w:val="auto"/>
          <w:highlight w:val="none"/>
          <w:lang w:eastAsia="zh-Hans"/>
        </w:rPr>
        <w:t>待</w:t>
      </w:r>
      <w:r>
        <w:rPr>
          <w:rFonts w:hint="eastAsia" w:ascii="Times New Roman" w:hAnsi="Times New Roman" w:eastAsia="仿宋" w:cs="Times New Roman"/>
          <w:color w:val="auto"/>
          <w:highlight w:val="none"/>
          <w:lang w:val="en-US" w:eastAsia="zh-CN"/>
        </w:rPr>
        <w:t>积累一定经验后</w:t>
      </w:r>
      <w:r>
        <w:rPr>
          <w:rFonts w:ascii="Times New Roman" w:hAnsi="Times New Roman" w:eastAsia="仿宋" w:cs="Times New Roman"/>
          <w:color w:val="auto"/>
          <w:highlight w:val="none"/>
        </w:rPr>
        <w:t>进行示范推广。</w:t>
      </w:r>
    </w:p>
    <w:p>
      <w:pPr>
        <w:pStyle w:val="25"/>
        <w:numPr>
          <w:ilvl w:val="0"/>
          <w:numId w:val="0"/>
        </w:numPr>
        <w:spacing w:line="560" w:lineRule="exact"/>
        <w:ind w:left="640" w:leftChars="0"/>
        <w:rPr>
          <w:rFonts w:hint="eastAsia"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三、</w:t>
      </w:r>
      <w:r>
        <w:rPr>
          <w:rFonts w:hint="eastAsia" w:ascii="Times New Roman" w:hAnsi="Times New Roman" w:eastAsia="黑体" w:cs="Times New Roman"/>
          <w:highlight w:val="none"/>
          <w:lang w:val="en-US" w:eastAsia="zh-CN"/>
        </w:rPr>
        <w:t>参与单位</w:t>
      </w:r>
    </w:p>
    <w:p>
      <w:pPr>
        <w:numPr>
          <w:ilvl w:val="0"/>
          <w:numId w:val="0"/>
        </w:numPr>
        <w:spacing w:line="560" w:lineRule="exact"/>
        <w:ind w:left="0" w:leftChars="0" w:firstLine="640" w:firstLineChars="200"/>
        <w:rPr>
          <w:rFonts w:hint="eastAsia"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符合条件的</w:t>
      </w:r>
      <w:r>
        <w:rPr>
          <w:rFonts w:hint="eastAsia" w:ascii="Times New Roman" w:hAnsi="Times New Roman" w:eastAsia="仿宋" w:cs="Times New Roman"/>
          <w:highlight w:val="none"/>
        </w:rPr>
        <w:t>普通本科高校、高等职业学校、独立设置成人高校、开放大学均可申报。</w:t>
      </w:r>
    </w:p>
    <w:p>
      <w:pPr>
        <w:pStyle w:val="25"/>
        <w:numPr>
          <w:ilvl w:val="0"/>
          <w:numId w:val="0"/>
        </w:numPr>
        <w:spacing w:line="560" w:lineRule="exact"/>
        <w:ind w:left="640" w:leftChars="0"/>
        <w:rPr>
          <w:rFonts w:hint="default" w:ascii="Times New Roman" w:hAnsi="Times New Roman" w:eastAsia="黑体" w:cs="Times New Roman"/>
          <w:highlight w:val="none"/>
        </w:rPr>
      </w:pPr>
      <w:r>
        <w:rPr>
          <w:rFonts w:hint="eastAsia" w:ascii="Times New Roman" w:hAnsi="Times New Roman" w:eastAsia="黑体" w:cs="Times New Roman"/>
          <w:highlight w:val="none"/>
          <w:lang w:val="en-US" w:eastAsia="zh-CN"/>
        </w:rPr>
        <w:t>四、建设</w:t>
      </w:r>
      <w:r>
        <w:rPr>
          <w:rFonts w:ascii="Times New Roman" w:hAnsi="Times New Roman" w:eastAsia="黑体" w:cs="Times New Roman"/>
          <w:highlight w:val="none"/>
        </w:rPr>
        <w:t xml:space="preserve">内容 </w:t>
      </w:r>
    </w:p>
    <w:p>
      <w:pPr>
        <w:spacing w:line="560" w:lineRule="exact"/>
        <w:ind w:firstLine="640" w:firstLineChars="200"/>
        <w:rPr>
          <w:rFonts w:ascii="Times New Roman" w:hAnsi="Times New Roman" w:eastAsia="仿宋" w:cs="Times New Roman"/>
        </w:rPr>
      </w:pPr>
      <w:r>
        <w:rPr>
          <w:rFonts w:ascii="Times New Roman" w:hAnsi="Times New Roman" w:eastAsia="仿宋" w:cs="Times New Roman"/>
        </w:rPr>
        <w:t>围绕重点</w:t>
      </w:r>
      <w:r>
        <w:rPr>
          <w:rFonts w:ascii="Times New Roman" w:hAnsi="Times New Roman" w:eastAsia="仿宋" w:cs="Times New Roman"/>
          <w:lang w:eastAsia="zh-Hans"/>
        </w:rPr>
        <w:t>领域、重点课题培育和建设</w:t>
      </w:r>
      <w:r>
        <w:rPr>
          <w:rFonts w:ascii="Times New Roman" w:hAnsi="Times New Roman" w:eastAsia="仿宋" w:cs="Times New Roman"/>
        </w:rPr>
        <w:t>，可以某一方面为建设点，也可选取多个方面协同推进</w:t>
      </w:r>
      <w:r>
        <w:rPr>
          <w:rFonts w:hint="eastAsia" w:ascii="Times New Roman" w:hAnsi="Times New Roman" w:eastAsia="仿宋" w:cs="Times New Roman"/>
          <w:lang w:eastAsia="zh-CN"/>
        </w:rPr>
        <w:t>（</w:t>
      </w:r>
      <w:r>
        <w:rPr>
          <w:rFonts w:hint="eastAsia" w:ascii="Times New Roman" w:hAnsi="Times New Roman" w:eastAsia="仿宋" w:cs="Times New Roman"/>
          <w:lang w:val="en-US" w:eastAsia="zh-CN"/>
        </w:rPr>
        <w:t>须在任务计划书中注明具体建设内容</w:t>
      </w:r>
      <w:r>
        <w:rPr>
          <w:rFonts w:hint="eastAsia" w:ascii="Times New Roman" w:hAnsi="Times New Roman" w:eastAsia="仿宋" w:cs="Times New Roman"/>
          <w:lang w:eastAsia="zh-CN"/>
        </w:rPr>
        <w:t>），</w:t>
      </w:r>
      <w:r>
        <w:rPr>
          <w:rFonts w:hint="eastAsia" w:ascii="Times New Roman" w:hAnsi="Times New Roman" w:eastAsia="仿宋" w:cs="Times New Roman"/>
          <w:lang w:val="en-US" w:eastAsia="zh-CN"/>
        </w:rPr>
        <w:t>主要包括</w:t>
      </w:r>
      <w:r>
        <w:rPr>
          <w:rFonts w:ascii="Times New Roman" w:hAnsi="Times New Roman" w:eastAsia="仿宋" w:cs="Times New Roman"/>
        </w:rPr>
        <w:t>：</w:t>
      </w:r>
    </w:p>
    <w:p>
      <w:pPr>
        <w:spacing w:line="560" w:lineRule="exact"/>
        <w:ind w:firstLine="643" w:firstLineChars="200"/>
        <w:rPr>
          <w:rFonts w:hint="default" w:ascii="Times New Roman" w:hAnsi="Times New Roman" w:eastAsia="楷体" w:cs="Times New Roman"/>
          <w:b/>
          <w:bCs/>
          <w:highlight w:val="none"/>
        </w:rPr>
      </w:pPr>
      <w:r>
        <w:rPr>
          <w:rFonts w:ascii="Times New Roman" w:hAnsi="Times New Roman" w:eastAsia="楷体" w:cs="Times New Roman"/>
          <w:b/>
          <w:bCs/>
          <w:highlight w:val="none"/>
        </w:rPr>
        <w:t>（一）校级层面</w:t>
      </w:r>
    </w:p>
    <w:p>
      <w:pPr>
        <w:spacing w:line="560" w:lineRule="exact"/>
        <w:ind w:firstLine="640" w:firstLineChars="200"/>
        <w:rPr>
          <w:rFonts w:hint="default" w:ascii="Times New Roman" w:hAnsi="Times New Roman" w:eastAsia="仿宋" w:cs="Times New Roman"/>
          <w:highlight w:val="none"/>
        </w:rPr>
      </w:pPr>
      <w:r>
        <w:rPr>
          <w:rFonts w:hint="eastAsia" w:ascii="Times New Roman" w:hAnsi="Times New Roman" w:eastAsia="仿宋" w:cs="Times New Roman"/>
          <w:highlight w:val="none"/>
          <w:lang w:val="en-US" w:eastAsia="zh-CN"/>
        </w:rPr>
        <w:t>在自愿基础上，重点培育</w:t>
      </w:r>
      <w:r>
        <w:rPr>
          <w:rFonts w:ascii="Times New Roman" w:hAnsi="Times New Roman" w:eastAsia="仿宋" w:cs="Times New Roman"/>
          <w:highlight w:val="none"/>
        </w:rPr>
        <w:t>在</w:t>
      </w:r>
      <w:r>
        <w:rPr>
          <w:rFonts w:hint="default" w:ascii="Times New Roman" w:hAnsi="Times New Roman" w:eastAsia="仿宋" w:cs="Times New Roman"/>
        </w:rPr>
        <w:t>职业教育、高等教育、继续教育</w:t>
      </w:r>
      <w:r>
        <w:rPr>
          <w:rFonts w:hint="eastAsia" w:ascii="Times New Roman" w:hAnsi="Times New Roman" w:eastAsia="仿宋" w:cs="Times New Roman"/>
          <w:highlight w:val="none"/>
          <w:lang w:val="en-US" w:eastAsia="zh-CN"/>
        </w:rPr>
        <w:t>融合</w:t>
      </w:r>
      <w:r>
        <w:rPr>
          <w:rFonts w:hint="default" w:ascii="Times New Roman" w:hAnsi="Times New Roman" w:eastAsia="仿宋" w:cs="Times New Roman"/>
          <w:highlight w:val="none"/>
          <w:lang w:eastAsia="zh-Hans"/>
        </w:rPr>
        <w:t>等</w:t>
      </w:r>
      <w:r>
        <w:rPr>
          <w:rFonts w:ascii="Times New Roman" w:hAnsi="Times New Roman" w:eastAsia="仿宋" w:cs="Times New Roman"/>
          <w:highlight w:val="none"/>
        </w:rPr>
        <w:t>方面有基础、有意愿开展协同创新的高校，围绕</w:t>
      </w:r>
      <w:r>
        <w:rPr>
          <w:rFonts w:hint="eastAsia" w:ascii="Times New Roman" w:hAnsi="Times New Roman" w:eastAsia="仿宋" w:cs="Times New Roman"/>
          <w:highlight w:val="none"/>
        </w:rPr>
        <w:t>提高重点行业、急需紧缺领域人才自主培养能力，在学校主管部门指导下，围绕创新人才培养模式，打通系统培养链条，探索师资、课程、教学实习实训条件共建共享，扩大学分银行深度应用等</w:t>
      </w:r>
      <w:r>
        <w:rPr>
          <w:rFonts w:ascii="Times New Roman" w:hAnsi="Times New Roman" w:eastAsia="仿宋" w:cs="Times New Roman"/>
          <w:highlight w:val="none"/>
        </w:rPr>
        <w:t>开展三教统筹协同创新试点。</w:t>
      </w:r>
      <w:r>
        <w:rPr>
          <w:rFonts w:hint="eastAsia" w:ascii="Times New Roman" w:hAnsi="Times New Roman" w:eastAsia="仿宋" w:cs="Times New Roman"/>
          <w:highlight w:val="none"/>
          <w:lang w:val="en-US" w:eastAsia="zh-CN"/>
        </w:rPr>
        <w:t>鼓励</w:t>
      </w:r>
      <w:r>
        <w:rPr>
          <w:rFonts w:ascii="Times New Roman" w:hAnsi="Times New Roman" w:eastAsia="仿宋" w:cs="Times New Roman"/>
          <w:highlight w:val="none"/>
        </w:rPr>
        <w:t>高校</w:t>
      </w:r>
      <w:r>
        <w:rPr>
          <w:rFonts w:hint="eastAsia" w:ascii="Times New Roman" w:hAnsi="Times New Roman" w:eastAsia="仿宋" w:cs="Times New Roman"/>
          <w:highlight w:val="none"/>
          <w:lang w:val="en-US" w:eastAsia="zh-CN"/>
        </w:rPr>
        <w:t>通过</w:t>
      </w:r>
      <w:r>
        <w:rPr>
          <w:rFonts w:ascii="Times New Roman" w:hAnsi="Times New Roman" w:eastAsia="仿宋" w:cs="Times New Roman"/>
          <w:highlight w:val="none"/>
        </w:rPr>
        <w:t>校内统筹</w:t>
      </w:r>
      <w:r>
        <w:rPr>
          <w:rFonts w:hint="eastAsia" w:ascii="Times New Roman" w:hAnsi="Times New Roman" w:eastAsia="仿宋" w:cs="Times New Roman"/>
          <w:highlight w:val="none"/>
          <w:lang w:eastAsia="zh-CN"/>
        </w:rPr>
        <w:t>、</w:t>
      </w:r>
      <w:r>
        <w:rPr>
          <w:rFonts w:ascii="Times New Roman" w:hAnsi="Times New Roman" w:eastAsia="仿宋" w:cs="Times New Roman"/>
          <w:highlight w:val="none"/>
        </w:rPr>
        <w:t>校外联合，打破学校界限，以人才培养为核心，以专业建设为抓手，在</w:t>
      </w:r>
      <w:r>
        <w:rPr>
          <w:rFonts w:hint="eastAsia" w:ascii="Times New Roman" w:hAnsi="Times New Roman" w:eastAsia="仿宋" w:cs="Times New Roman"/>
          <w:highlight w:val="none"/>
          <w:lang w:val="en-US" w:eastAsia="zh-CN"/>
        </w:rPr>
        <w:t>地方</w:t>
      </w:r>
      <w:r>
        <w:rPr>
          <w:rFonts w:ascii="Times New Roman" w:hAnsi="Times New Roman" w:eastAsia="仿宋" w:cs="Times New Roman"/>
          <w:highlight w:val="none"/>
        </w:rPr>
        <w:t>教育</w:t>
      </w:r>
      <w:r>
        <w:rPr>
          <w:rFonts w:hint="default" w:ascii="Times New Roman" w:hAnsi="Times New Roman" w:eastAsia="仿宋" w:cs="Times New Roman"/>
          <w:highlight w:val="none"/>
          <w:lang w:val="en-US" w:eastAsia="zh-CN"/>
        </w:rPr>
        <w:t>行政</w:t>
      </w:r>
      <w:r>
        <w:rPr>
          <w:rFonts w:ascii="Times New Roman" w:hAnsi="Times New Roman" w:eastAsia="仿宋" w:cs="Times New Roman"/>
          <w:highlight w:val="none"/>
        </w:rPr>
        <w:t>部门的指导和支持下，</w:t>
      </w:r>
      <w:r>
        <w:rPr>
          <w:rFonts w:hint="eastAsia" w:ascii="Times New Roman" w:hAnsi="Times New Roman" w:eastAsia="仿宋" w:cs="Times New Roman"/>
          <w:highlight w:val="none"/>
          <w:lang w:val="en-US" w:eastAsia="zh-CN"/>
        </w:rPr>
        <w:t>制定工作方案，</w:t>
      </w:r>
      <w:r>
        <w:rPr>
          <w:rFonts w:ascii="Times New Roman" w:hAnsi="Times New Roman" w:eastAsia="仿宋" w:cs="Times New Roman"/>
          <w:highlight w:val="none"/>
        </w:rPr>
        <w:t>联合开展</w:t>
      </w:r>
      <w:r>
        <w:rPr>
          <w:rFonts w:hint="eastAsia" w:ascii="Times New Roman" w:hAnsi="Times New Roman" w:eastAsia="仿宋" w:cs="Times New Roman"/>
          <w:highlight w:val="none"/>
          <w:lang w:val="en-US" w:eastAsia="zh-CN"/>
        </w:rPr>
        <w:t>探索</w:t>
      </w:r>
      <w:r>
        <w:rPr>
          <w:rFonts w:ascii="Times New Roman" w:hAnsi="Times New Roman" w:eastAsia="仿宋" w:cs="Times New Roman"/>
          <w:highlight w:val="none"/>
        </w:rPr>
        <w:t xml:space="preserve">。主要从以下方面开展： </w:t>
      </w:r>
    </w:p>
    <w:p>
      <w:pPr>
        <w:spacing w:line="560" w:lineRule="exact"/>
        <w:ind w:firstLine="643" w:firstLineChars="200"/>
        <w:rPr>
          <w:rFonts w:hint="default" w:ascii="Times New Roman" w:hAnsi="Times New Roman" w:eastAsia="仿宋" w:cs="Times New Roman"/>
          <w:highlight w:val="none"/>
        </w:rPr>
      </w:pPr>
      <w:r>
        <w:rPr>
          <w:rFonts w:ascii="Times New Roman" w:hAnsi="Times New Roman" w:eastAsia="仿宋" w:cs="Times New Roman"/>
          <w:b/>
          <w:bCs/>
          <w:highlight w:val="none"/>
        </w:rPr>
        <w:t>1.创新人才培养模式。</w:t>
      </w:r>
      <w:r>
        <w:rPr>
          <w:rFonts w:hint="eastAsia" w:ascii="Times New Roman" w:hAnsi="Times New Roman" w:eastAsia="仿宋" w:cs="Times New Roman"/>
          <w:highlight w:val="none"/>
          <w:lang w:val="en-US" w:eastAsia="zh-CN"/>
        </w:rPr>
        <w:t>鼓励</w:t>
      </w:r>
      <w:r>
        <w:rPr>
          <w:rFonts w:ascii="Times New Roman" w:hAnsi="Times New Roman" w:eastAsia="仿宋" w:cs="Times New Roman"/>
          <w:highlight w:val="none"/>
        </w:rPr>
        <w:t>在专升本、专业硕士招生中，增加普通高校招收职业院校毕业生的数量。鼓励职业院校、普通高校以校校合作、校企合作、项目制等方式联合培养本科生、研究生。鼓励普通高校特别是高水平工科学校或综合性高校工科专业开展职业学校</w:t>
      </w:r>
      <w:r>
        <w:rPr>
          <w:rFonts w:hint="eastAsia" w:ascii="Times New Roman" w:hAnsi="Times New Roman" w:eastAsia="仿宋" w:cs="Times New Roman"/>
          <w:highlight w:val="none"/>
          <w:lang w:val="en-US" w:eastAsia="zh-CN"/>
        </w:rPr>
        <w:t>教师</w:t>
      </w:r>
      <w:r>
        <w:rPr>
          <w:rFonts w:ascii="Times New Roman" w:hAnsi="Times New Roman" w:eastAsia="仿宋" w:cs="Times New Roman"/>
          <w:highlight w:val="none"/>
        </w:rPr>
        <w:t>专业学位研究生定向培养。</w:t>
      </w:r>
      <w:r>
        <w:rPr>
          <w:rFonts w:hint="eastAsia" w:ascii="Times New Roman" w:hAnsi="Times New Roman" w:eastAsia="仿宋" w:cs="Times New Roman"/>
          <w:highlight w:val="none"/>
          <w:lang w:val="en-US" w:eastAsia="zh-CN"/>
        </w:rPr>
        <w:t>鼓励</w:t>
      </w:r>
      <w:r>
        <w:rPr>
          <w:rFonts w:ascii="Times New Roman" w:hAnsi="Times New Roman" w:eastAsia="仿宋" w:cs="Times New Roman"/>
          <w:highlight w:val="none"/>
        </w:rPr>
        <w:t>高水平本科学校探索多种方式参与职业教育改革。</w:t>
      </w:r>
    </w:p>
    <w:p>
      <w:pPr>
        <w:spacing w:line="560" w:lineRule="exact"/>
        <w:ind w:firstLine="643" w:firstLineChars="200"/>
        <w:rPr>
          <w:rFonts w:hint="default" w:ascii="Times New Roman" w:hAnsi="Times New Roman" w:eastAsia="仿宋" w:cs="Times New Roman"/>
          <w:highlight w:val="none"/>
        </w:rPr>
      </w:pPr>
      <w:r>
        <w:rPr>
          <w:rFonts w:ascii="Times New Roman" w:hAnsi="Times New Roman" w:eastAsia="仿宋" w:cs="Times New Roman"/>
          <w:b/>
          <w:bCs/>
          <w:highlight w:val="none"/>
        </w:rPr>
        <w:t>2.推进资源共建共享。</w:t>
      </w:r>
      <w:r>
        <w:rPr>
          <w:rFonts w:ascii="Times New Roman" w:hAnsi="Times New Roman" w:eastAsia="仿宋" w:cs="Times New Roman"/>
          <w:highlight w:val="none"/>
        </w:rPr>
        <w:t>通过健全信息互通、资源共享机制，探索师资、课程、实践教学条件等教学要素在多种教育类型间的共建共享，</w:t>
      </w:r>
      <w:r>
        <w:rPr>
          <w:rFonts w:hint="default" w:ascii="Times New Roman" w:hAnsi="Times New Roman" w:eastAsia="仿宋" w:cs="Times New Roman"/>
          <w:highlight w:val="none"/>
          <w:lang w:val="en-US"/>
        </w:rPr>
        <w:t>在教师队伍建设、教学资源、精品课程、实训基地等方面形成共建共享</w:t>
      </w:r>
      <w:r>
        <w:rPr>
          <w:rFonts w:hint="eastAsia" w:ascii="Times New Roman" w:hAnsi="Times New Roman" w:eastAsia="仿宋" w:cs="Times New Roman"/>
          <w:highlight w:val="none"/>
          <w:lang w:val="en-US" w:eastAsia="zh-CN"/>
        </w:rPr>
        <w:t>形成可复制、可推广</w:t>
      </w:r>
      <w:r>
        <w:rPr>
          <w:rFonts w:ascii="Times New Roman" w:hAnsi="Times New Roman" w:eastAsia="仿宋" w:cs="Times New Roman"/>
          <w:highlight w:val="none"/>
        </w:rPr>
        <w:t>的特色案例。</w:t>
      </w:r>
    </w:p>
    <w:p>
      <w:pPr>
        <w:spacing w:line="560" w:lineRule="exact"/>
        <w:ind w:firstLine="643" w:firstLineChars="200"/>
        <w:rPr>
          <w:rFonts w:hint="default" w:ascii="Times New Roman" w:hAnsi="Times New Roman" w:eastAsia="仿宋_GB2312" w:cs="Times New Roman"/>
          <w:highlight w:val="none"/>
        </w:rPr>
      </w:pPr>
      <w:r>
        <w:rPr>
          <w:rFonts w:ascii="Times New Roman" w:hAnsi="Times New Roman" w:eastAsia="仿宋" w:cs="Times New Roman"/>
          <w:b/>
          <w:bCs/>
          <w:highlight w:val="none"/>
        </w:rPr>
        <w:t>3.</w:t>
      </w:r>
      <w:r>
        <w:rPr>
          <w:rFonts w:hint="default" w:ascii="Times New Roman" w:hAnsi="Times New Roman" w:eastAsia="仿宋" w:cs="Times New Roman"/>
          <w:b/>
          <w:bCs/>
          <w:highlight w:val="none"/>
          <w:lang w:eastAsia="zh-Hans"/>
        </w:rPr>
        <w:t>推进</w:t>
      </w:r>
      <w:r>
        <w:rPr>
          <w:rFonts w:ascii="Times New Roman" w:hAnsi="Times New Roman" w:eastAsia="仿宋" w:cs="Times New Roman"/>
          <w:b/>
          <w:bCs/>
          <w:highlight w:val="none"/>
        </w:rPr>
        <w:t>产教融合</w:t>
      </w:r>
      <w:r>
        <w:rPr>
          <w:rFonts w:hint="eastAsia" w:ascii="Times New Roman" w:hAnsi="Times New Roman" w:eastAsia="仿宋" w:cs="Times New Roman"/>
          <w:b/>
          <w:bCs/>
          <w:highlight w:val="none"/>
          <w:lang w:val="en-US" w:eastAsia="zh-CN"/>
        </w:rPr>
        <w:t>科教融汇</w:t>
      </w:r>
      <w:r>
        <w:rPr>
          <w:rFonts w:ascii="Times New Roman" w:hAnsi="Times New Roman" w:eastAsia="仿宋" w:cs="Times New Roman"/>
          <w:b/>
          <w:bCs/>
          <w:highlight w:val="none"/>
        </w:rPr>
        <w:t>。</w:t>
      </w:r>
      <w:r>
        <w:rPr>
          <w:rFonts w:ascii="Times New Roman" w:hAnsi="Times New Roman" w:eastAsia="仿宋" w:cs="Times New Roman"/>
          <w:highlight w:val="none"/>
        </w:rPr>
        <w:t>聚焦国家和地区发展战略，汇聚产教科教资源，面向重点行业、企业员工开展岗前培训、岗位培训和继续教育，促进产教融合、科教融</w:t>
      </w:r>
      <w:r>
        <w:rPr>
          <w:rFonts w:hint="default" w:ascii="Times New Roman" w:hAnsi="Times New Roman" w:eastAsia="仿宋" w:cs="Times New Roman"/>
          <w:highlight w:val="none"/>
          <w:lang w:eastAsia="zh-Hans"/>
        </w:rPr>
        <w:t>汇</w:t>
      </w:r>
      <w:r>
        <w:rPr>
          <w:rFonts w:ascii="Times New Roman" w:hAnsi="Times New Roman" w:eastAsia="仿宋" w:cs="Times New Roman"/>
          <w:highlight w:val="none"/>
        </w:rPr>
        <w:t>，为行业提供人力资源和技术支撑。</w:t>
      </w:r>
    </w:p>
    <w:p>
      <w:pPr>
        <w:spacing w:line="560" w:lineRule="exact"/>
        <w:ind w:firstLine="643" w:firstLineChars="200"/>
        <w:rPr>
          <w:rFonts w:hint="default" w:ascii="Times New Roman" w:hAnsi="Times New Roman" w:eastAsia="仿宋" w:cs="Times New Roman"/>
          <w:highlight w:val="none"/>
        </w:rPr>
      </w:pPr>
      <w:r>
        <w:rPr>
          <w:rFonts w:ascii="Times New Roman" w:hAnsi="Times New Roman" w:eastAsia="仿宋" w:cs="Times New Roman"/>
          <w:b/>
          <w:bCs/>
          <w:highlight w:val="none"/>
        </w:rPr>
        <w:t>4.扩大学分银行深度应用。</w:t>
      </w:r>
      <w:r>
        <w:rPr>
          <w:rFonts w:ascii="Times New Roman" w:hAnsi="Times New Roman" w:eastAsia="仿宋" w:cs="Times New Roman"/>
          <w:highlight w:val="none"/>
        </w:rPr>
        <w:t>以数字化平台为载体，以学分转换为桥梁，联合其他高校、职业资格认定机构组建学习成果转换联合体，从基于学习者能力的评价出发，在联合体内</w:t>
      </w:r>
      <w:r>
        <w:rPr>
          <w:rFonts w:hint="eastAsia" w:ascii="Times New Roman" w:hAnsi="Times New Roman" w:eastAsia="仿宋" w:cs="Times New Roman"/>
          <w:highlight w:val="none"/>
          <w:lang w:val="en-US" w:eastAsia="zh-CN"/>
        </w:rPr>
        <w:t>实施</w:t>
      </w:r>
      <w:r>
        <w:rPr>
          <w:rFonts w:ascii="Times New Roman" w:hAnsi="Times New Roman" w:eastAsia="仿宋" w:cs="Times New Roman"/>
          <w:highlight w:val="none"/>
        </w:rPr>
        <w:t>学习成果的</w:t>
      </w:r>
      <w:r>
        <w:rPr>
          <w:rFonts w:hint="default" w:ascii="Times New Roman" w:hAnsi="Times New Roman" w:eastAsia="仿宋" w:cs="Times New Roman"/>
          <w:highlight w:val="none"/>
          <w:lang w:eastAsia="zh-Hans"/>
        </w:rPr>
        <w:t>认证</w:t>
      </w:r>
      <w:r>
        <w:rPr>
          <w:rFonts w:ascii="Times New Roman" w:hAnsi="Times New Roman" w:eastAsia="仿宋" w:cs="Times New Roman"/>
          <w:highlight w:val="none"/>
          <w:lang w:eastAsia="zh-Hans"/>
        </w:rPr>
        <w:t>、</w:t>
      </w:r>
      <w:r>
        <w:rPr>
          <w:rFonts w:ascii="Times New Roman" w:hAnsi="Times New Roman" w:eastAsia="仿宋" w:cs="Times New Roman"/>
          <w:highlight w:val="none"/>
        </w:rPr>
        <w:t>积累、转换，为全域范围不同类型学习成果之间的转换作实践探索。</w:t>
      </w:r>
    </w:p>
    <w:p>
      <w:pPr>
        <w:spacing w:line="560" w:lineRule="exact"/>
        <w:ind w:firstLine="643" w:firstLineChars="200"/>
        <w:rPr>
          <w:rFonts w:hint="default" w:ascii="Times New Roman" w:hAnsi="Times New Roman" w:eastAsia="楷体" w:cs="Times New Roman"/>
          <w:b/>
          <w:bCs/>
          <w:highlight w:val="none"/>
        </w:rPr>
      </w:pPr>
      <w:r>
        <w:rPr>
          <w:rFonts w:ascii="Times New Roman" w:hAnsi="Times New Roman" w:eastAsia="楷体" w:cs="Times New Roman"/>
          <w:b/>
          <w:bCs/>
          <w:highlight w:val="none"/>
        </w:rPr>
        <w:t>（二）</w:t>
      </w:r>
      <w:r>
        <w:rPr>
          <w:rFonts w:hint="eastAsia" w:ascii="Times New Roman" w:hAnsi="Times New Roman" w:eastAsia="楷体" w:cs="Times New Roman"/>
          <w:b/>
          <w:bCs/>
          <w:highlight w:val="none"/>
          <w:lang w:val="en-US" w:eastAsia="zh-CN"/>
        </w:rPr>
        <w:t>地方</w:t>
      </w:r>
      <w:r>
        <w:rPr>
          <w:rFonts w:ascii="Times New Roman" w:hAnsi="Times New Roman" w:eastAsia="楷体" w:cs="Times New Roman"/>
          <w:b/>
          <w:bCs/>
          <w:highlight w:val="none"/>
        </w:rPr>
        <w:t>层面</w:t>
      </w:r>
    </w:p>
    <w:p>
      <w:pPr>
        <w:spacing w:line="560" w:lineRule="exact"/>
        <w:ind w:firstLine="640" w:firstLineChars="200"/>
        <w:rPr>
          <w:rFonts w:hint="default" w:ascii="Times New Roman" w:hAnsi="Times New Roman" w:eastAsia="仿宋" w:cs="Times New Roman"/>
          <w:highlight w:val="none"/>
        </w:rPr>
      </w:pPr>
      <w:r>
        <w:rPr>
          <w:rFonts w:hint="eastAsia" w:ascii="Times New Roman" w:hAnsi="Times New Roman" w:eastAsia="仿宋" w:cs="Times New Roman"/>
          <w:lang w:val="en-US" w:eastAsia="zh-CN"/>
        </w:rPr>
        <w:t>如地市级及以上区</w:t>
      </w:r>
      <w:r>
        <w:rPr>
          <w:rFonts w:hint="default" w:ascii="Times New Roman" w:hAnsi="Times New Roman" w:eastAsia="仿宋" w:cs="Times New Roman"/>
        </w:rPr>
        <w:t>域内</w:t>
      </w:r>
      <w:r>
        <w:rPr>
          <w:rFonts w:hint="eastAsia" w:ascii="Times New Roman" w:hAnsi="Times New Roman" w:eastAsia="仿宋" w:cs="Times New Roman"/>
          <w:lang w:val="en-US" w:eastAsia="zh-CN"/>
        </w:rPr>
        <w:t>原则上</w:t>
      </w:r>
      <w:r>
        <w:rPr>
          <w:rFonts w:hint="default" w:ascii="Times New Roman" w:hAnsi="Times New Roman" w:eastAsia="仿宋" w:cs="Times New Roman"/>
        </w:rPr>
        <w:t>有3个以上高校</w:t>
      </w:r>
      <w:r>
        <w:rPr>
          <w:rFonts w:hint="eastAsia" w:ascii="Times New Roman" w:hAnsi="Times New Roman" w:eastAsia="仿宋" w:cs="Times New Roman"/>
          <w:lang w:val="en-US" w:eastAsia="zh-CN"/>
        </w:rPr>
        <w:t>申报</w:t>
      </w:r>
      <w:r>
        <w:rPr>
          <w:rFonts w:hint="default" w:ascii="Times New Roman" w:hAnsi="Times New Roman" w:eastAsia="仿宋" w:cs="Times New Roman"/>
        </w:rPr>
        <w:t>创新探索案例，该</w:t>
      </w:r>
      <w:r>
        <w:rPr>
          <w:rFonts w:hint="eastAsia" w:ascii="Times New Roman" w:hAnsi="Times New Roman" w:eastAsia="仿宋" w:cs="Times New Roman"/>
          <w:lang w:val="en-US" w:eastAsia="zh-CN"/>
        </w:rPr>
        <w:t>地区</w:t>
      </w:r>
      <w:r>
        <w:rPr>
          <w:rFonts w:hint="default" w:ascii="Times New Roman" w:hAnsi="Times New Roman" w:eastAsia="仿宋" w:cs="Times New Roman"/>
        </w:rPr>
        <w:t>可</w:t>
      </w:r>
      <w:r>
        <w:rPr>
          <w:rFonts w:hint="eastAsia" w:ascii="Times New Roman" w:hAnsi="Times New Roman" w:eastAsia="仿宋" w:cs="Times New Roman"/>
          <w:lang w:val="en-US" w:eastAsia="zh-CN"/>
        </w:rPr>
        <w:t>申报整体推进</w:t>
      </w:r>
      <w:r>
        <w:rPr>
          <w:rFonts w:hint="default" w:ascii="Times New Roman" w:hAnsi="Times New Roman" w:eastAsia="仿宋" w:cs="Times New Roman"/>
        </w:rPr>
        <w:t>三教统筹协同创新工作案例</w:t>
      </w:r>
      <w:r>
        <w:rPr>
          <w:rFonts w:hint="eastAsia" w:ascii="Times New Roman" w:hAnsi="Times New Roman" w:eastAsia="仿宋" w:cs="Times New Roman"/>
          <w:lang w:eastAsia="zh-CN"/>
        </w:rPr>
        <w:t>，</w:t>
      </w:r>
      <w:r>
        <w:rPr>
          <w:rFonts w:ascii="Times New Roman" w:hAnsi="Times New Roman" w:eastAsia="仿宋" w:cs="Times New Roman"/>
          <w:color w:val="auto"/>
          <w:highlight w:val="none"/>
        </w:rPr>
        <w:t>“一</w:t>
      </w:r>
      <w:r>
        <w:rPr>
          <w:rFonts w:hint="eastAsia" w:ascii="Times New Roman" w:hAnsi="Times New Roman" w:eastAsia="仿宋" w:cs="Times New Roman"/>
          <w:color w:val="auto"/>
          <w:highlight w:val="none"/>
          <w:lang w:val="en-US" w:eastAsia="zh-CN"/>
        </w:rPr>
        <w:t>地</w:t>
      </w:r>
      <w:r>
        <w:rPr>
          <w:rFonts w:ascii="Times New Roman" w:hAnsi="Times New Roman" w:eastAsia="仿宋" w:cs="Times New Roman"/>
          <w:color w:val="auto"/>
          <w:highlight w:val="none"/>
        </w:rPr>
        <w:t xml:space="preserve">一策”具体组织实施。主要从以下方面开展： </w:t>
      </w:r>
    </w:p>
    <w:p>
      <w:pPr>
        <w:numPr>
          <w:ilvl w:val="0"/>
          <w:numId w:val="1"/>
        </w:numPr>
        <w:spacing w:line="560" w:lineRule="exact"/>
        <w:ind w:firstLine="640" w:firstLineChars="200"/>
        <w:rPr>
          <w:rFonts w:hint="default" w:ascii="Times New Roman" w:hAnsi="Times New Roman" w:eastAsia="仿宋" w:cs="Times New Roman"/>
          <w:highlight w:val="none"/>
        </w:rPr>
      </w:pPr>
      <w:r>
        <w:rPr>
          <w:rFonts w:ascii="Times New Roman" w:hAnsi="Times New Roman" w:eastAsia="仿宋" w:cs="Times New Roman"/>
          <w:highlight w:val="none"/>
        </w:rPr>
        <w:t>建立健全多形式衔接、多通道成长、可持续发展的梯度职业教育和培训体系，推动职</w:t>
      </w:r>
      <w:r>
        <w:rPr>
          <w:rFonts w:hint="default" w:ascii="Times New Roman" w:hAnsi="Times New Roman" w:eastAsia="仿宋" w:cs="Times New Roman"/>
          <w:highlight w:val="none"/>
        </w:rPr>
        <w:t>继</w:t>
      </w:r>
      <w:r>
        <w:rPr>
          <w:rFonts w:ascii="Times New Roman" w:hAnsi="Times New Roman" w:eastAsia="仿宋" w:cs="Times New Roman"/>
          <w:highlight w:val="none"/>
        </w:rPr>
        <w:t>协调发展、相互融通，让不同禀赋和需要的学生能够多次选择、多样化成才。</w:t>
      </w:r>
    </w:p>
    <w:p>
      <w:pPr>
        <w:numPr>
          <w:ilvl w:val="0"/>
          <w:numId w:val="1"/>
        </w:numPr>
        <w:spacing w:line="560" w:lineRule="exact"/>
        <w:ind w:firstLine="640" w:firstLineChars="200"/>
        <w:rPr>
          <w:rFonts w:hint="default" w:ascii="Times New Roman" w:hAnsi="Times New Roman" w:eastAsia="仿宋" w:cs="Times New Roman"/>
          <w:highlight w:val="none"/>
        </w:rPr>
      </w:pPr>
      <w:r>
        <w:rPr>
          <w:rFonts w:ascii="Times New Roman" w:hAnsi="Times New Roman" w:eastAsia="仿宋" w:cs="Times New Roman"/>
          <w:highlight w:val="none"/>
        </w:rPr>
        <w:t>聚焦国家和区域发展战略，服务于重点产业和新兴产业，发挥职业教育、高等教育、继续教育在职前、职后的教育特长，优势互补，相互融通，满足行业发展对人才的需求。</w:t>
      </w:r>
    </w:p>
    <w:p>
      <w:pPr>
        <w:numPr>
          <w:ilvl w:val="0"/>
          <w:numId w:val="1"/>
        </w:numPr>
        <w:spacing w:line="560" w:lineRule="exact"/>
        <w:ind w:firstLine="640" w:firstLineChars="200"/>
        <w:rPr>
          <w:rFonts w:hint="default" w:ascii="Times New Roman" w:hAnsi="Times New Roman" w:eastAsia="仿宋" w:cs="Times New Roman"/>
          <w:highlight w:val="none"/>
        </w:rPr>
      </w:pPr>
      <w:r>
        <w:rPr>
          <w:rFonts w:ascii="Times New Roman" w:hAnsi="Times New Roman" w:eastAsia="仿宋" w:cs="Times New Roman"/>
          <w:b w:val="0"/>
          <w:bCs w:val="0"/>
          <w:highlight w:val="none"/>
        </w:rPr>
        <w:t>开展学分银行深度应用试点。</w:t>
      </w:r>
      <w:r>
        <w:rPr>
          <w:rFonts w:ascii="Times New Roman" w:hAnsi="Times New Roman" w:eastAsia="仿宋" w:cs="Times New Roman"/>
          <w:highlight w:val="none"/>
        </w:rPr>
        <w:t>在完善个人学习账户和学分累积量的同时，通过挖掘学分运用场景，拓宽学分转换渠道，优化学分转换平台，研究相关制度和措施，深化学分银行的运用和学习成果转化落地，使学历证书、职业</w:t>
      </w:r>
      <w:r>
        <w:rPr>
          <w:rFonts w:hint="default" w:ascii="Times New Roman" w:hAnsi="Times New Roman" w:eastAsia="仿宋" w:cs="Times New Roman"/>
          <w:highlight w:val="none"/>
          <w:lang w:eastAsia="zh-Hans"/>
        </w:rPr>
        <w:t>类</w:t>
      </w:r>
      <w:r>
        <w:rPr>
          <w:rFonts w:ascii="Times New Roman" w:hAnsi="Times New Roman" w:eastAsia="仿宋" w:cs="Times New Roman"/>
          <w:highlight w:val="none"/>
        </w:rPr>
        <w:t>证书和泛在学习成果认证制度相衔接，形成可推广的学习成果转换体系。</w:t>
      </w:r>
    </w:p>
    <w:p>
      <w:pPr>
        <w:spacing w:line="560" w:lineRule="exact"/>
        <w:ind w:firstLine="640" w:firstLineChars="200"/>
        <w:rPr>
          <w:rFonts w:hint="eastAsia" w:ascii="Times New Roman" w:hAnsi="Times New Roman" w:eastAsia="黑体" w:cs="Times New Roman"/>
          <w:highlight w:val="none"/>
          <w:lang w:eastAsia="zh-CN"/>
        </w:rPr>
      </w:pPr>
      <w:r>
        <w:rPr>
          <w:rFonts w:hint="eastAsia" w:ascii="Times New Roman" w:hAnsi="Times New Roman" w:eastAsia="黑体" w:cs="Times New Roman"/>
          <w:highlight w:val="none"/>
          <w:lang w:val="en-US" w:eastAsia="zh-CN"/>
        </w:rPr>
        <w:t>五</w:t>
      </w:r>
      <w:r>
        <w:rPr>
          <w:rFonts w:ascii="Times New Roman" w:hAnsi="Times New Roman" w:eastAsia="黑体" w:cs="Times New Roman"/>
          <w:highlight w:val="none"/>
        </w:rPr>
        <w:t>、</w:t>
      </w:r>
      <w:r>
        <w:rPr>
          <w:rFonts w:hint="eastAsia" w:ascii="Times New Roman" w:hAnsi="Times New Roman" w:eastAsia="黑体" w:cs="Times New Roman"/>
          <w:highlight w:val="none"/>
          <w:lang w:val="en-US" w:eastAsia="zh-CN"/>
        </w:rPr>
        <w:t>工作基础</w:t>
      </w:r>
    </w:p>
    <w:p>
      <w:pPr>
        <w:spacing w:line="560" w:lineRule="exact"/>
        <w:ind w:firstLine="643" w:firstLineChars="200"/>
        <w:rPr>
          <w:rFonts w:hint="default" w:ascii="Times New Roman" w:hAnsi="Times New Roman" w:eastAsia="仿宋" w:cs="Times New Roman"/>
          <w:bCs/>
          <w:highlight w:val="none"/>
        </w:rPr>
      </w:pPr>
      <w:r>
        <w:rPr>
          <w:rFonts w:ascii="Times New Roman" w:hAnsi="Times New Roman" w:eastAsia="楷体" w:cs="Times New Roman"/>
          <w:b/>
          <w:bCs/>
          <w:highlight w:val="none"/>
        </w:rPr>
        <w:t>（一）“三教”资源相对集聚。</w:t>
      </w:r>
      <w:r>
        <w:rPr>
          <w:rFonts w:ascii="Times New Roman" w:hAnsi="Times New Roman" w:eastAsia="仿宋" w:cs="Times New Roman"/>
          <w:bCs/>
          <w:highlight w:val="none"/>
        </w:rPr>
        <w:t>学校（如普通高校、职业院校、开放大学）一般应有“三教”中</w:t>
      </w:r>
      <w:r>
        <w:rPr>
          <w:rFonts w:hint="default" w:ascii="Times New Roman" w:hAnsi="Times New Roman" w:eastAsia="仿宋" w:cs="Times New Roman"/>
          <w:bCs/>
          <w:highlight w:val="none"/>
          <w:lang w:eastAsia="zh-Hans"/>
        </w:rPr>
        <w:t>两</w:t>
      </w:r>
      <w:r>
        <w:rPr>
          <w:rFonts w:ascii="Times New Roman" w:hAnsi="Times New Roman" w:eastAsia="仿宋" w:cs="Times New Roman"/>
          <w:bCs/>
          <w:highlight w:val="none"/>
        </w:rPr>
        <w:t>种及以上教育形式的办学</w:t>
      </w:r>
      <w:r>
        <w:rPr>
          <w:rFonts w:hint="eastAsia" w:ascii="Times New Roman" w:hAnsi="Times New Roman" w:eastAsia="仿宋" w:cs="Times New Roman"/>
          <w:bCs/>
          <w:highlight w:val="none"/>
          <w:lang w:val="en-US" w:eastAsia="zh-CN"/>
        </w:rPr>
        <w:t>基础</w:t>
      </w:r>
      <w:r>
        <w:rPr>
          <w:rFonts w:ascii="Times New Roman" w:hAnsi="Times New Roman" w:eastAsia="仿宋" w:cs="Times New Roman"/>
          <w:bCs/>
          <w:highlight w:val="none"/>
        </w:rPr>
        <w:t>，“三教”生源质量较好，有一定办学规模，办学条件较为充裕。</w:t>
      </w:r>
    </w:p>
    <w:p>
      <w:pPr>
        <w:spacing w:line="560" w:lineRule="exact"/>
        <w:ind w:firstLine="643" w:firstLineChars="200"/>
        <w:rPr>
          <w:rFonts w:hint="default" w:ascii="Times New Roman" w:hAnsi="Times New Roman" w:eastAsia="仿宋" w:cs="Times New Roman"/>
          <w:bCs/>
          <w:highlight w:val="none"/>
        </w:rPr>
      </w:pPr>
      <w:r>
        <w:rPr>
          <w:rFonts w:ascii="Times New Roman" w:hAnsi="Times New Roman" w:eastAsia="楷体" w:cs="Times New Roman"/>
          <w:b/>
          <w:bCs/>
          <w:highlight w:val="none"/>
        </w:rPr>
        <w:t>（二）改革意愿较为强烈。</w:t>
      </w:r>
      <w:r>
        <w:rPr>
          <w:rFonts w:ascii="Times New Roman" w:hAnsi="Times New Roman" w:eastAsia="仿宋" w:cs="Times New Roman"/>
          <w:bCs/>
          <w:highlight w:val="none"/>
        </w:rPr>
        <w:t>学校所在地条件基础较好，对三教统筹需求迫切、改革意愿强，所在地地方政府和有关主管部门愿</w:t>
      </w:r>
      <w:r>
        <w:rPr>
          <w:rFonts w:hint="default" w:ascii="Times New Roman" w:hAnsi="Times New Roman" w:eastAsia="仿宋" w:cs="Times New Roman"/>
          <w:bCs/>
          <w:highlight w:val="none"/>
          <w:lang w:eastAsia="zh-Hans"/>
        </w:rPr>
        <w:t>意</w:t>
      </w:r>
      <w:r>
        <w:rPr>
          <w:rFonts w:ascii="Times New Roman" w:hAnsi="Times New Roman" w:eastAsia="仿宋" w:cs="Times New Roman"/>
          <w:bCs/>
          <w:highlight w:val="none"/>
        </w:rPr>
        <w:t>通过多种方式，对涉及的学校、资源等加大资金、政策支持力度，愿意有效支持项目完成并进行推广。</w:t>
      </w:r>
    </w:p>
    <w:p>
      <w:pPr>
        <w:spacing w:line="560" w:lineRule="exact"/>
        <w:ind w:firstLine="643" w:firstLineChars="200"/>
        <w:rPr>
          <w:rFonts w:hint="default" w:ascii="Times New Roman" w:hAnsi="Times New Roman" w:eastAsia="仿宋" w:cs="Times New Roman"/>
          <w:bCs/>
          <w:highlight w:val="none"/>
          <w:lang w:val="en-US" w:eastAsia="zh-CN"/>
        </w:rPr>
      </w:pPr>
      <w:r>
        <w:rPr>
          <w:rFonts w:ascii="Times New Roman" w:hAnsi="Times New Roman" w:eastAsia="楷体" w:cs="Times New Roman"/>
          <w:b/>
          <w:bCs/>
          <w:highlight w:val="none"/>
        </w:rPr>
        <w:t>（三）建设方案切实可行。</w:t>
      </w:r>
      <w:r>
        <w:rPr>
          <w:rFonts w:hint="default" w:ascii="Times New Roman" w:hAnsi="Times New Roman" w:eastAsia="仿宋" w:cs="Times New Roman"/>
          <w:b w:val="0"/>
          <w:bCs/>
          <w:highlight w:val="none"/>
          <w:lang w:val="en-US" w:eastAsia="zh-CN"/>
        </w:rPr>
        <w:t>地方</w:t>
      </w:r>
      <w:r>
        <w:rPr>
          <w:rFonts w:ascii="Times New Roman" w:hAnsi="Times New Roman" w:eastAsia="仿宋" w:cs="Times New Roman"/>
          <w:bCs/>
          <w:highlight w:val="none"/>
        </w:rPr>
        <w:t>方案能够针对三教统筹中的重难点问题提出有力举措，申报方案具有创新性、科学性与可行性，参与单位有明确的分工与协同路径。</w:t>
      </w:r>
      <w:r>
        <w:rPr>
          <w:rFonts w:hint="eastAsia" w:ascii="Times New Roman" w:hAnsi="Times New Roman" w:eastAsia="仿宋" w:cs="Times New Roman"/>
          <w:bCs/>
          <w:highlight w:val="none"/>
          <w:lang w:val="en-US" w:eastAsia="zh-CN"/>
        </w:rPr>
        <w:t>学</w:t>
      </w:r>
      <w:r>
        <w:rPr>
          <w:rFonts w:ascii="Times New Roman" w:hAnsi="Times New Roman" w:eastAsia="仿宋" w:cs="Times New Roman"/>
          <w:bCs/>
          <w:highlight w:val="none"/>
        </w:rPr>
        <w:t>校方案应切实可行，可预见成果优良，至少涉及“三教”中的</w:t>
      </w:r>
      <w:r>
        <w:rPr>
          <w:rFonts w:hint="default" w:ascii="Times New Roman" w:hAnsi="Times New Roman" w:eastAsia="仿宋" w:cs="Times New Roman"/>
          <w:bCs/>
          <w:highlight w:val="none"/>
          <w:lang w:eastAsia="zh-Hans"/>
        </w:rPr>
        <w:t>两</w:t>
      </w:r>
      <w:r>
        <w:rPr>
          <w:rFonts w:ascii="Times New Roman" w:hAnsi="Times New Roman" w:eastAsia="仿宋" w:cs="Times New Roman"/>
          <w:bCs/>
          <w:highlight w:val="none"/>
        </w:rPr>
        <w:t>种，一般应有相关行业或合作企业参与试点。学校主管部门和所在地省级教育行政部门</w:t>
      </w:r>
      <w:r>
        <w:rPr>
          <w:rFonts w:hint="eastAsia" w:ascii="Times New Roman" w:hAnsi="Times New Roman" w:eastAsia="仿宋" w:cs="Times New Roman"/>
          <w:bCs/>
          <w:highlight w:val="none"/>
          <w:lang w:val="en-US" w:eastAsia="zh-CN"/>
        </w:rPr>
        <w:t>书面</w:t>
      </w:r>
      <w:r>
        <w:rPr>
          <w:rFonts w:ascii="Times New Roman" w:hAnsi="Times New Roman" w:eastAsia="仿宋" w:cs="Times New Roman"/>
          <w:bCs/>
          <w:highlight w:val="none"/>
        </w:rPr>
        <w:t>同意并</w:t>
      </w:r>
      <w:r>
        <w:rPr>
          <w:rFonts w:hint="eastAsia" w:ascii="Times New Roman" w:hAnsi="Times New Roman" w:eastAsia="仿宋" w:cs="Times New Roman"/>
          <w:bCs/>
          <w:highlight w:val="none"/>
          <w:lang w:val="en-US" w:eastAsia="zh-CN"/>
        </w:rPr>
        <w:t>承诺</w:t>
      </w:r>
      <w:r>
        <w:rPr>
          <w:rFonts w:ascii="Times New Roman" w:hAnsi="Times New Roman" w:eastAsia="仿宋" w:cs="Times New Roman"/>
          <w:bCs/>
          <w:highlight w:val="none"/>
        </w:rPr>
        <w:t>提供相应支持。</w:t>
      </w:r>
    </w:p>
    <w:p>
      <w:pPr>
        <w:spacing w:line="560" w:lineRule="exact"/>
        <w:ind w:firstLine="640" w:firstLineChars="200"/>
        <w:rPr>
          <w:rFonts w:hint="default" w:ascii="Times New Roman" w:hAnsi="Times New Roman" w:eastAsia="黑体" w:cs="Times New Roman"/>
          <w:highlight w:val="none"/>
        </w:rPr>
      </w:pPr>
      <w:r>
        <w:rPr>
          <w:rFonts w:hint="eastAsia" w:ascii="Times New Roman" w:hAnsi="Times New Roman" w:eastAsia="黑体" w:cs="Times New Roman"/>
          <w:highlight w:val="none"/>
          <w:lang w:val="en-US" w:eastAsia="zh-CN"/>
        </w:rPr>
        <w:t>六</w:t>
      </w:r>
      <w:r>
        <w:rPr>
          <w:rFonts w:ascii="Times New Roman" w:hAnsi="Times New Roman" w:eastAsia="黑体" w:cs="Times New Roman"/>
          <w:highlight w:val="none"/>
        </w:rPr>
        <w:t>、工作程序</w:t>
      </w:r>
    </w:p>
    <w:p>
      <w:pPr>
        <w:spacing w:line="560" w:lineRule="exact"/>
        <w:ind w:firstLine="643" w:firstLineChars="200"/>
        <w:rPr>
          <w:rFonts w:ascii="Times New Roman" w:hAnsi="Times New Roman" w:eastAsia="仿宋" w:cs="Times New Roman"/>
        </w:rPr>
      </w:pPr>
      <w:r>
        <w:rPr>
          <w:rFonts w:ascii="Times New Roman" w:hAnsi="Times New Roman" w:eastAsia="楷体" w:cs="Times New Roman"/>
          <w:b/>
          <w:bCs/>
          <w:highlight w:val="none"/>
        </w:rPr>
        <w:t>（一）</w:t>
      </w:r>
      <w:r>
        <w:rPr>
          <w:rFonts w:hint="eastAsia" w:ascii="Times New Roman" w:hAnsi="Times New Roman" w:eastAsia="楷体" w:cs="Times New Roman"/>
          <w:b/>
          <w:bCs/>
          <w:highlight w:val="none"/>
          <w:lang w:val="en-US" w:eastAsia="zh-CN"/>
        </w:rPr>
        <w:t>系统填报</w:t>
      </w:r>
      <w:r>
        <w:rPr>
          <w:rFonts w:ascii="Times New Roman" w:hAnsi="Times New Roman" w:eastAsia="楷体" w:cs="Times New Roman"/>
          <w:b/>
          <w:bCs/>
          <w:highlight w:val="none"/>
        </w:rPr>
        <w:t>。</w:t>
      </w:r>
      <w:r>
        <w:rPr>
          <w:rFonts w:ascii="Times New Roman" w:hAnsi="Times New Roman" w:eastAsia="仿宋" w:cs="Times New Roman"/>
          <w:bCs/>
        </w:rPr>
        <w:t>2023年</w:t>
      </w:r>
      <w:r>
        <w:rPr>
          <w:rFonts w:hint="eastAsia" w:ascii="Times New Roman" w:hAnsi="Times New Roman" w:eastAsia="仿宋" w:cs="Times New Roman"/>
          <w:bCs/>
          <w:lang w:val="en-US" w:eastAsia="zh-CN"/>
        </w:rPr>
        <w:t>10</w:t>
      </w:r>
      <w:r>
        <w:rPr>
          <w:rFonts w:ascii="Times New Roman" w:hAnsi="Times New Roman" w:eastAsia="仿宋" w:cs="Times New Roman"/>
          <w:bCs/>
        </w:rPr>
        <w:t>月</w:t>
      </w:r>
      <w:r>
        <w:rPr>
          <w:rFonts w:hint="eastAsia" w:ascii="Times New Roman" w:hAnsi="Times New Roman" w:eastAsia="仿宋" w:cs="Times New Roman"/>
          <w:bCs/>
          <w:lang w:val="en-US" w:eastAsia="zh-CN"/>
        </w:rPr>
        <w:t>7</w:t>
      </w:r>
      <w:r>
        <w:rPr>
          <w:rFonts w:ascii="Times New Roman" w:hAnsi="Times New Roman" w:eastAsia="仿宋" w:cs="Times New Roman"/>
          <w:bCs/>
        </w:rPr>
        <w:t>日</w:t>
      </w:r>
      <w:r>
        <w:rPr>
          <w:rFonts w:hint="eastAsia" w:ascii="Times New Roman" w:hAnsi="Times New Roman" w:eastAsia="仿宋" w:cs="Times New Roman"/>
          <w:bCs/>
          <w:lang w:val="en-US" w:eastAsia="zh-CN"/>
        </w:rPr>
        <w:t>前</w:t>
      </w:r>
      <w:r>
        <w:rPr>
          <w:rFonts w:ascii="Times New Roman" w:hAnsi="Times New Roman" w:eastAsia="仿宋" w:cs="Times New Roman"/>
          <w:bCs/>
        </w:rPr>
        <w:t>，各单位在征得主管部门同意后（地方高校和继续教育机构</w:t>
      </w:r>
      <w:r>
        <w:rPr>
          <w:rFonts w:hint="eastAsia" w:ascii="Times New Roman" w:hAnsi="Times New Roman" w:eastAsia="仿宋" w:cs="Times New Roman"/>
          <w:bCs/>
          <w:lang w:val="en-US" w:eastAsia="zh-CN"/>
        </w:rPr>
        <w:t>还</w:t>
      </w:r>
      <w:r>
        <w:rPr>
          <w:rFonts w:ascii="Times New Roman" w:hAnsi="Times New Roman" w:eastAsia="仿宋" w:cs="Times New Roman"/>
          <w:bCs/>
        </w:rPr>
        <w:t>应</w:t>
      </w:r>
      <w:r>
        <w:rPr>
          <w:rFonts w:hint="eastAsia" w:ascii="Times New Roman" w:hAnsi="Times New Roman" w:eastAsia="仿宋" w:cs="Times New Roman"/>
          <w:bCs/>
          <w:lang w:val="en-US" w:eastAsia="zh-CN"/>
        </w:rPr>
        <w:t>取</w:t>
      </w:r>
      <w:r>
        <w:rPr>
          <w:rFonts w:ascii="Times New Roman" w:hAnsi="Times New Roman" w:eastAsia="仿宋" w:cs="Times New Roman"/>
          <w:bCs/>
        </w:rPr>
        <w:t>得省级教育</w:t>
      </w:r>
      <w:r>
        <w:rPr>
          <w:rFonts w:hint="eastAsia" w:ascii="Times New Roman" w:hAnsi="Times New Roman" w:eastAsia="仿宋" w:cs="Times New Roman"/>
          <w:bCs/>
        </w:rPr>
        <w:t>行政</w:t>
      </w:r>
      <w:r>
        <w:rPr>
          <w:rFonts w:ascii="Times New Roman" w:hAnsi="Times New Roman" w:eastAsia="仿宋" w:cs="Times New Roman"/>
          <w:bCs/>
        </w:rPr>
        <w:t>部门同意），可登录</w:t>
      </w:r>
      <w:r>
        <w:rPr>
          <w:rFonts w:hint="eastAsia" w:ascii="Times New Roman" w:hAnsi="Times New Roman" w:eastAsia="仿宋" w:cs="Times New Roman"/>
          <w:bCs/>
          <w:lang w:val="en-US" w:eastAsia="zh-CN"/>
        </w:rPr>
        <w:t>全国高等</w:t>
      </w:r>
      <w:r>
        <w:rPr>
          <w:rFonts w:hint="eastAsia" w:ascii="Times New Roman" w:hAnsi="Times New Roman" w:eastAsia="仿宋" w:cs="Times New Roman"/>
          <w:lang w:val="en-US" w:eastAsia="zh-CN"/>
        </w:rPr>
        <w:t>高等继续教育信息管理系统（</w:t>
      </w:r>
      <w:r>
        <w:rPr>
          <w:rFonts w:ascii="Times New Roman" w:hAnsi="Times New Roman" w:eastAsia="仿宋_GB2312" w:cs="Times New Roman"/>
        </w:rPr>
        <w:t>http://jxjy.moe.edu.cn</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以下简称平台</w:t>
      </w:r>
      <w:r>
        <w:rPr>
          <w:rFonts w:hint="eastAsia" w:ascii="Times New Roman" w:hAnsi="Times New Roman" w:eastAsia="仿宋" w:cs="Times New Roman"/>
          <w:lang w:val="en-US" w:eastAsia="zh-CN"/>
        </w:rPr>
        <w:t>）</w:t>
      </w:r>
      <w:r>
        <w:rPr>
          <w:rFonts w:ascii="Times New Roman" w:hAnsi="Times New Roman" w:eastAsia="仿宋" w:cs="Times New Roman"/>
          <w:bCs/>
        </w:rPr>
        <w:t>填报</w:t>
      </w:r>
      <w:r>
        <w:rPr>
          <w:rFonts w:hint="default" w:ascii="Times New Roman" w:hAnsi="Times New Roman" w:eastAsia="仿宋" w:cs="Times New Roman"/>
          <w:bCs/>
          <w:lang w:val="en-US" w:eastAsia="zh-CN"/>
        </w:rPr>
        <w:t>并</w:t>
      </w:r>
      <w:r>
        <w:rPr>
          <w:rFonts w:ascii="Times New Roman" w:hAnsi="Times New Roman" w:eastAsia="仿宋" w:cs="Times New Roman"/>
          <w:bCs/>
        </w:rPr>
        <w:t>上传佐证材料</w:t>
      </w:r>
      <w:r>
        <w:rPr>
          <w:rFonts w:hint="default" w:ascii="Times New Roman" w:hAnsi="Times New Roman" w:eastAsia="仿宋" w:cs="Times New Roman"/>
          <w:bCs/>
          <w:lang w:eastAsia="zh-CN"/>
        </w:rPr>
        <w:t>。</w:t>
      </w:r>
      <w:r>
        <w:rPr>
          <w:rFonts w:hint="default" w:ascii="Times New Roman" w:hAnsi="Times New Roman" w:eastAsia="仿宋" w:cs="Times New Roman"/>
          <w:bCs/>
          <w:lang w:val="en-US" w:eastAsia="zh-CN"/>
        </w:rPr>
        <w:t>其中，</w:t>
      </w:r>
      <w:r>
        <w:rPr>
          <w:rFonts w:hint="default" w:ascii="Times New Roman" w:hAnsi="Times New Roman" w:eastAsia="仿宋" w:cs="Times New Roman"/>
          <w:bCs/>
        </w:rPr>
        <w:t>部属高校直接联系所在地省级教育行政部门获得账号，地方高校须经所在省级教育行政部门同意申报后</w:t>
      </w:r>
      <w:r>
        <w:rPr>
          <w:rFonts w:hint="default" w:ascii="Times New Roman" w:hAnsi="Times New Roman" w:eastAsia="仿宋" w:cs="Times New Roman"/>
          <w:bCs/>
          <w:lang w:eastAsia="zh-CN"/>
        </w:rPr>
        <w:t>，</w:t>
      </w:r>
      <w:r>
        <w:rPr>
          <w:rFonts w:hint="default" w:ascii="Times New Roman" w:hAnsi="Times New Roman" w:eastAsia="仿宋" w:cs="Times New Roman"/>
          <w:bCs/>
          <w:lang w:val="en-US" w:eastAsia="zh-CN"/>
        </w:rPr>
        <w:t>由省级教育行政部门</w:t>
      </w:r>
      <w:r>
        <w:rPr>
          <w:rFonts w:hint="default" w:ascii="Times New Roman" w:hAnsi="Times New Roman" w:eastAsia="仿宋" w:cs="Times New Roman"/>
          <w:bCs/>
        </w:rPr>
        <w:t>创建</w:t>
      </w:r>
      <w:r>
        <w:rPr>
          <w:rFonts w:hint="default" w:ascii="Times New Roman" w:hAnsi="Times New Roman" w:eastAsia="仿宋" w:cs="Times New Roman"/>
          <w:bCs/>
          <w:lang w:val="en-US" w:eastAsia="zh-CN"/>
        </w:rPr>
        <w:t>账号</w:t>
      </w:r>
      <w:r>
        <w:rPr>
          <w:rFonts w:hint="eastAsia" w:ascii="Times New Roman" w:hAnsi="Times New Roman" w:eastAsia="仿宋" w:cs="Times New Roman"/>
          <w:bCs/>
          <w:lang w:val="en-US" w:eastAsia="zh-CN"/>
        </w:rPr>
        <w:t>，</w:t>
      </w:r>
      <w:r>
        <w:rPr>
          <w:rFonts w:hint="eastAsia" w:ascii="Times New Roman" w:hAnsi="Times New Roman" w:eastAsia="仿宋" w:cs="Times New Roman"/>
          <w:lang w:val="en-US" w:eastAsia="zh-CN"/>
        </w:rPr>
        <w:t>地方整体推进</w:t>
      </w:r>
      <w:r>
        <w:rPr>
          <w:rFonts w:hint="default" w:ascii="Times New Roman" w:hAnsi="Times New Roman" w:eastAsia="仿宋" w:cs="Times New Roman"/>
        </w:rPr>
        <w:t>三教统筹协同创新工作案例</w:t>
      </w:r>
      <w:r>
        <w:rPr>
          <w:rFonts w:hint="eastAsia" w:ascii="Times New Roman" w:hAnsi="Times New Roman" w:eastAsia="仿宋" w:cs="Times New Roman"/>
          <w:lang w:val="en-US" w:eastAsia="zh-CN"/>
        </w:rPr>
        <w:t>由所在地省级教育行政部门统一组织申报并创建账号</w:t>
      </w:r>
      <w:r>
        <w:rPr>
          <w:rFonts w:hint="default" w:ascii="Times New Roman" w:hAnsi="Times New Roman" w:eastAsia="仿宋" w:cs="Times New Roman"/>
          <w:bCs/>
        </w:rPr>
        <w:t>。</w:t>
      </w:r>
      <w:r>
        <w:rPr>
          <w:rFonts w:hint="eastAsia" w:ascii="Times New Roman" w:hAnsi="Times New Roman" w:eastAsia="仿宋" w:cs="Times New Roman"/>
          <w:bCs/>
          <w:highlight w:val="none"/>
          <w:lang w:val="en-US" w:eastAsia="zh-CN"/>
        </w:rPr>
        <w:t>建设方案Word和PDF电子版随任务申报书上传平台。</w:t>
      </w:r>
      <w:r>
        <w:rPr>
          <w:rFonts w:ascii="Times New Roman" w:hAnsi="Times New Roman" w:eastAsia="仿宋" w:cs="Times New Roman"/>
          <w:bCs/>
        </w:rPr>
        <w:t>各省级教育行政部门根据</w:t>
      </w:r>
      <w:r>
        <w:rPr>
          <w:rFonts w:hint="default" w:ascii="Times New Roman" w:hAnsi="Times New Roman" w:eastAsia="仿宋" w:cs="Times New Roman"/>
          <w:bCs/>
        </w:rPr>
        <w:t>任务建设</w:t>
      </w:r>
      <w:r>
        <w:rPr>
          <w:rFonts w:ascii="Times New Roman" w:hAnsi="Times New Roman" w:eastAsia="仿宋" w:cs="Times New Roman"/>
          <w:bCs/>
        </w:rPr>
        <w:t>要求</w:t>
      </w:r>
      <w:r>
        <w:rPr>
          <w:rFonts w:hint="default" w:ascii="Times New Roman" w:hAnsi="Times New Roman" w:eastAsia="仿宋" w:cs="Times New Roman"/>
          <w:bCs/>
        </w:rPr>
        <w:t>对申报单位基础及建设方案认真研究</w:t>
      </w:r>
      <w:r>
        <w:rPr>
          <w:rFonts w:hint="eastAsia" w:ascii="Times New Roman" w:hAnsi="Times New Roman" w:eastAsia="仿宋" w:cs="Times New Roman"/>
        </w:rPr>
        <w:t>，通过平台择优差额</w:t>
      </w:r>
      <w:r>
        <w:rPr>
          <w:rFonts w:ascii="Times New Roman" w:hAnsi="Times New Roman" w:eastAsia="仿宋" w:cs="Times New Roman"/>
        </w:rPr>
        <w:t>推荐</w:t>
      </w:r>
      <w:r>
        <w:rPr>
          <w:rFonts w:hint="eastAsia" w:ascii="Times New Roman" w:hAnsi="Times New Roman" w:eastAsia="仿宋" w:cs="Times New Roman"/>
        </w:rPr>
        <w:t>，于10月15日前</w:t>
      </w:r>
      <w:r>
        <w:rPr>
          <w:rFonts w:ascii="Times New Roman" w:hAnsi="Times New Roman" w:eastAsia="仿宋" w:cs="Times New Roman"/>
        </w:rPr>
        <w:t>报教育部。</w:t>
      </w:r>
    </w:p>
    <w:p>
      <w:pPr>
        <w:spacing w:line="560" w:lineRule="exact"/>
        <w:ind w:firstLine="643" w:firstLineChars="200"/>
        <w:rPr>
          <w:rFonts w:hint="default" w:ascii="Times New Roman" w:hAnsi="Times New Roman" w:eastAsia="仿宋" w:cs="Times New Roman"/>
          <w:bCs/>
          <w:highlight w:val="none"/>
        </w:rPr>
      </w:pPr>
      <w:r>
        <w:rPr>
          <w:rFonts w:ascii="Times New Roman" w:hAnsi="Times New Roman" w:eastAsia="楷体" w:cs="Times New Roman"/>
          <w:b/>
          <w:bCs/>
          <w:highlight w:val="none"/>
        </w:rPr>
        <w:t>（二）组织实施。</w:t>
      </w:r>
      <w:r>
        <w:rPr>
          <w:rFonts w:ascii="Times New Roman" w:hAnsi="Times New Roman" w:eastAsia="仿宋" w:cs="Times New Roman"/>
          <w:bCs/>
          <w:highlight w:val="none"/>
        </w:rPr>
        <w:t>对于列入试点的单位，</w:t>
      </w:r>
      <w:r>
        <w:rPr>
          <w:rFonts w:hint="default" w:ascii="Times New Roman" w:hAnsi="Times New Roman" w:eastAsia="仿宋_GB2312" w:cs="Times New Roman"/>
        </w:rPr>
        <w:t>各</w:t>
      </w:r>
      <w:r>
        <w:rPr>
          <w:rFonts w:hint="eastAsia" w:ascii="Times New Roman" w:hAnsi="Times New Roman" w:eastAsia="仿宋_GB2312" w:cs="Times New Roman"/>
          <w:lang w:val="en-US" w:eastAsia="zh-CN"/>
        </w:rPr>
        <w:t>省级</w:t>
      </w:r>
      <w:r>
        <w:rPr>
          <w:rFonts w:hint="default" w:ascii="Times New Roman" w:hAnsi="Times New Roman" w:eastAsia="仿宋_GB2312" w:cs="Times New Roman"/>
        </w:rPr>
        <w:t>教育行政部门要组织有关高校、继续教育机构等对照任务要求，科学制定工作方案，细化目标任务，举措应</w:t>
      </w:r>
      <w:r>
        <w:rPr>
          <w:rFonts w:ascii="Times New Roman" w:hAnsi="Times New Roman" w:eastAsia="仿宋" w:cs="Times New Roman"/>
          <w:bCs/>
        </w:rPr>
        <w:t>具有创新性、科学性与可行性，预</w:t>
      </w:r>
      <w:r>
        <w:rPr>
          <w:rFonts w:hint="default" w:ascii="Times New Roman" w:hAnsi="Times New Roman" w:eastAsia="仿宋" w:cs="Times New Roman"/>
          <w:bCs/>
        </w:rPr>
        <w:t>期</w:t>
      </w:r>
      <w:r>
        <w:rPr>
          <w:rFonts w:ascii="Times New Roman" w:hAnsi="Times New Roman" w:eastAsia="仿宋" w:cs="Times New Roman"/>
          <w:bCs/>
        </w:rPr>
        <w:t>成</w:t>
      </w:r>
      <w:r>
        <w:rPr>
          <w:rFonts w:hint="default" w:ascii="Times New Roman" w:hAnsi="Times New Roman" w:eastAsia="仿宋" w:cs="Times New Roman"/>
          <w:bCs/>
        </w:rPr>
        <w:t>效明显，</w:t>
      </w:r>
      <w:r>
        <w:rPr>
          <w:rFonts w:ascii="Times New Roman" w:hAnsi="Times New Roman" w:eastAsia="仿宋" w:cs="Times New Roman"/>
          <w:bCs/>
        </w:rPr>
        <w:t>学校主管部门提供相应支持</w:t>
      </w:r>
      <w:r>
        <w:rPr>
          <w:rFonts w:ascii="Times New Roman" w:hAnsi="Times New Roman" w:eastAsia="仿宋" w:cs="Times New Roman"/>
          <w:bCs/>
          <w:highlight w:val="none"/>
        </w:rPr>
        <w:t>。试点</w:t>
      </w:r>
      <w:r>
        <w:rPr>
          <w:rFonts w:hint="eastAsia" w:ascii="Times New Roman" w:hAnsi="Times New Roman" w:eastAsia="仿宋" w:cs="Times New Roman"/>
          <w:bCs/>
          <w:highlight w:val="none"/>
          <w:lang w:val="en-US" w:eastAsia="zh-CN"/>
        </w:rPr>
        <w:t>地方</w:t>
      </w:r>
      <w:r>
        <w:rPr>
          <w:rFonts w:ascii="Times New Roman" w:hAnsi="Times New Roman" w:eastAsia="仿宋" w:cs="Times New Roman"/>
          <w:bCs/>
          <w:highlight w:val="none"/>
        </w:rPr>
        <w:t>要结合</w:t>
      </w:r>
      <w:r>
        <w:rPr>
          <w:rFonts w:hint="eastAsia" w:ascii="Times New Roman" w:hAnsi="Times New Roman" w:eastAsia="仿宋" w:cs="Times New Roman"/>
          <w:bCs/>
          <w:highlight w:val="none"/>
        </w:rPr>
        <w:t>现代职业教育体系建设改革推进工程、高等教育综合改革工程</w:t>
      </w:r>
      <w:r>
        <w:rPr>
          <w:rFonts w:hint="eastAsia" w:ascii="Times New Roman" w:hAnsi="Times New Roman" w:eastAsia="仿宋" w:cs="Times New Roman"/>
          <w:bCs/>
          <w:highlight w:val="none"/>
          <w:lang w:val="en-US" w:eastAsia="zh-CN"/>
        </w:rPr>
        <w:t>等</w:t>
      </w:r>
      <w:r>
        <w:rPr>
          <w:rFonts w:ascii="Times New Roman" w:hAnsi="Times New Roman" w:eastAsia="仿宋" w:cs="Times New Roman"/>
          <w:bCs/>
          <w:highlight w:val="none"/>
        </w:rPr>
        <w:t>，做好三教统筹试点工作。</w:t>
      </w:r>
    </w:p>
    <w:p>
      <w:pPr>
        <w:spacing w:line="560" w:lineRule="exact"/>
        <w:ind w:firstLine="643" w:firstLineChars="200"/>
        <w:rPr>
          <w:rFonts w:hint="default" w:ascii="Times New Roman" w:hAnsi="Times New Roman" w:eastAsia="仿宋" w:cs="Times New Roman"/>
          <w:bCs/>
          <w:highlight w:val="none"/>
        </w:rPr>
      </w:pPr>
      <w:r>
        <w:rPr>
          <w:rFonts w:ascii="Times New Roman" w:hAnsi="Times New Roman" w:eastAsia="楷体" w:cs="Times New Roman"/>
          <w:b/>
          <w:bCs/>
          <w:highlight w:val="none"/>
        </w:rPr>
        <w:t>（三）动态管理。</w:t>
      </w:r>
      <w:r>
        <w:rPr>
          <w:rFonts w:hint="eastAsia" w:ascii="Times New Roman" w:hAnsi="Times New Roman" w:eastAsia="仿宋" w:cs="Times New Roman"/>
          <w:highlight w:val="none"/>
          <w:lang w:val="en-US" w:eastAsia="zh-CN"/>
        </w:rPr>
        <w:t>教育部将</w:t>
      </w:r>
      <w:r>
        <w:rPr>
          <w:rFonts w:ascii="Times New Roman" w:hAnsi="Times New Roman" w:eastAsia="仿宋" w:cs="Times New Roman"/>
          <w:bCs/>
          <w:highlight w:val="none"/>
        </w:rPr>
        <w:t>加强全过程管理，实施动态监测，建立跟踪指导机制</w:t>
      </w:r>
      <w:r>
        <w:rPr>
          <w:rFonts w:hint="eastAsia" w:ascii="Times New Roman" w:hAnsi="Times New Roman" w:eastAsia="仿宋" w:cs="Times New Roman"/>
          <w:bCs/>
          <w:highlight w:val="none"/>
          <w:lang w:eastAsia="zh-CN"/>
        </w:rPr>
        <w:t>，</w:t>
      </w:r>
      <w:r>
        <w:rPr>
          <w:rFonts w:hint="eastAsia" w:ascii="Times New Roman" w:hAnsi="Times New Roman" w:eastAsia="仿宋" w:cs="Times New Roman"/>
          <w:highlight w:val="none"/>
        </w:rPr>
        <w:t>组织专家指导有关单位细化完善工作方案，整合优质资源，组织工作交流。自2023年起，每年12月15日前，各建设单位要按要求开展自评、总结经验、凝练成果，形成报告，通过平台系统填报绩效数据</w:t>
      </w:r>
      <w:r>
        <w:rPr>
          <w:rFonts w:hint="eastAsia" w:ascii="Times New Roman" w:hAnsi="Times New Roman" w:eastAsia="仿宋" w:cs="Times New Roman"/>
          <w:highlight w:val="none"/>
          <w:lang w:eastAsia="zh-CN"/>
        </w:rPr>
        <w:t>（</w:t>
      </w:r>
      <w:r>
        <w:rPr>
          <w:rFonts w:hint="eastAsia" w:ascii="Times New Roman" w:hAnsi="Times New Roman" w:eastAsia="仿宋" w:cs="Times New Roman"/>
          <w:highlight w:val="none"/>
          <w:lang w:val="en-US" w:eastAsia="zh-CN"/>
        </w:rPr>
        <w:t>有关工作届时通过平台另行通知</w:t>
      </w:r>
      <w:r>
        <w:rPr>
          <w:rFonts w:hint="eastAsia" w:ascii="Times New Roman" w:hAnsi="Times New Roman" w:eastAsia="仿宋" w:cs="Times New Roman"/>
          <w:highlight w:val="none"/>
          <w:lang w:eastAsia="zh-CN"/>
        </w:rPr>
        <w:t>）</w:t>
      </w:r>
      <w:r>
        <w:rPr>
          <w:rFonts w:hint="eastAsia" w:ascii="Times New Roman" w:hAnsi="Times New Roman" w:eastAsia="仿宋" w:cs="Times New Roman"/>
          <w:highlight w:val="none"/>
        </w:rPr>
        <w:t>。</w:t>
      </w:r>
      <w:r>
        <w:rPr>
          <w:rFonts w:ascii="Times New Roman" w:hAnsi="Times New Roman" w:eastAsia="仿宋" w:cs="Times New Roman"/>
          <w:bCs/>
          <w:highlight w:val="none"/>
        </w:rPr>
        <w:t>教育部</w:t>
      </w:r>
      <w:r>
        <w:rPr>
          <w:rFonts w:hint="eastAsia" w:ascii="Times New Roman" w:hAnsi="Times New Roman" w:eastAsia="仿宋" w:cs="Times New Roman"/>
          <w:bCs/>
          <w:highlight w:val="none"/>
          <w:lang w:val="en-US" w:eastAsia="zh-CN"/>
        </w:rPr>
        <w:t>将</w:t>
      </w:r>
      <w:r>
        <w:rPr>
          <w:rFonts w:ascii="Times New Roman" w:hAnsi="Times New Roman" w:eastAsia="仿宋" w:cs="Times New Roman"/>
          <w:bCs/>
          <w:highlight w:val="none"/>
        </w:rPr>
        <w:t>组织力量，根据建设方案、自评报告、第三方评价情况等进行综合评价</w:t>
      </w:r>
      <w:r>
        <w:rPr>
          <w:rFonts w:ascii="Times New Roman" w:hAnsi="Times New Roman" w:eastAsia="仿宋" w:cs="Times New Roman"/>
          <w:highlight w:val="none"/>
        </w:rPr>
        <w:t>。</w:t>
      </w:r>
    </w:p>
    <w:p>
      <w:pPr>
        <w:spacing w:line="560" w:lineRule="exact"/>
        <w:ind w:firstLine="643" w:firstLineChars="200"/>
        <w:rPr>
          <w:rFonts w:hint="eastAsia" w:ascii="Times New Roman" w:hAnsi="Times New Roman" w:eastAsia="仿宋" w:cs="Times New Roman"/>
          <w:bCs/>
          <w:highlight w:val="none"/>
          <w:lang w:eastAsia="zh-CN"/>
        </w:rPr>
      </w:pPr>
      <w:r>
        <w:rPr>
          <w:rFonts w:ascii="Times New Roman" w:hAnsi="Times New Roman" w:eastAsia="楷体" w:cs="Times New Roman"/>
          <w:b/>
          <w:bCs/>
          <w:highlight w:val="none"/>
        </w:rPr>
        <w:t>（四）总结推广。</w:t>
      </w:r>
      <w:r>
        <w:rPr>
          <w:rFonts w:ascii="Times New Roman" w:hAnsi="Times New Roman" w:eastAsia="仿宋" w:cs="Times New Roman"/>
          <w:bCs/>
          <w:highlight w:val="none"/>
        </w:rPr>
        <w:t>试点单位梳理三教统筹建设的经验和成果，总结提炼案例</w:t>
      </w:r>
      <w:r>
        <w:rPr>
          <w:rFonts w:hint="default" w:ascii="Times New Roman" w:hAnsi="Times New Roman" w:eastAsia="仿宋" w:cs="Times New Roman"/>
          <w:bCs/>
          <w:highlight w:val="none"/>
          <w:lang w:eastAsia="zh-CN"/>
        </w:rPr>
        <w:t>，</w:t>
      </w:r>
      <w:r>
        <w:rPr>
          <w:rFonts w:hint="default" w:ascii="Times New Roman" w:hAnsi="Times New Roman" w:eastAsia="仿宋" w:cs="Times New Roman"/>
          <w:bCs/>
          <w:highlight w:val="none"/>
          <w:lang w:val="en-US" w:eastAsia="zh-CN"/>
        </w:rPr>
        <w:t>形成典型案例报告</w:t>
      </w:r>
      <w:r>
        <w:rPr>
          <w:rFonts w:hint="eastAsia" w:ascii="Times New Roman" w:hAnsi="Times New Roman" w:eastAsia="仿宋" w:cs="Times New Roman"/>
          <w:bCs/>
          <w:highlight w:val="none"/>
          <w:lang w:eastAsia="zh-CN"/>
        </w:rPr>
        <w:t>，</w:t>
      </w:r>
      <w:r>
        <w:rPr>
          <w:rFonts w:hint="eastAsia" w:ascii="Times New Roman" w:hAnsi="Times New Roman" w:eastAsia="仿宋" w:cs="Times New Roman"/>
          <w:bCs/>
          <w:highlight w:val="none"/>
        </w:rPr>
        <w:t>凝练可复制、可推广的典型经验，</w:t>
      </w:r>
      <w:r>
        <w:rPr>
          <w:rFonts w:ascii="Times New Roman" w:hAnsi="Times New Roman" w:eastAsia="仿宋" w:cs="Times New Roman"/>
          <w:bCs/>
          <w:highlight w:val="none"/>
        </w:rPr>
        <w:t>教育部</w:t>
      </w:r>
      <w:r>
        <w:rPr>
          <w:rFonts w:hint="default" w:ascii="Times New Roman" w:hAnsi="Times New Roman" w:eastAsia="仿宋" w:cs="Times New Roman"/>
          <w:bCs/>
          <w:highlight w:val="none"/>
          <w:lang w:val="en-US" w:eastAsia="zh-CN"/>
        </w:rPr>
        <w:t>将择优</w:t>
      </w:r>
      <w:r>
        <w:rPr>
          <w:rFonts w:ascii="Times New Roman" w:hAnsi="Times New Roman" w:eastAsia="仿宋" w:cs="Times New Roman"/>
          <w:bCs/>
          <w:highlight w:val="none"/>
        </w:rPr>
        <w:t>组织宣传推介，引导</w:t>
      </w:r>
      <w:r>
        <w:rPr>
          <w:rFonts w:hint="default" w:ascii="Times New Roman" w:hAnsi="Times New Roman" w:eastAsia="仿宋" w:cs="Times New Roman"/>
          <w:bCs/>
          <w:highlight w:val="none"/>
          <w:lang w:val="en-US" w:eastAsia="zh-CN"/>
        </w:rPr>
        <w:t>其他</w:t>
      </w:r>
      <w:r>
        <w:rPr>
          <w:rFonts w:ascii="Times New Roman" w:hAnsi="Times New Roman" w:eastAsia="仿宋" w:cs="Times New Roman"/>
          <w:bCs/>
          <w:highlight w:val="none"/>
        </w:rPr>
        <w:t>地方和高校学习借鉴，并</w:t>
      </w:r>
      <w:r>
        <w:rPr>
          <w:rFonts w:hint="default" w:ascii="Times New Roman" w:hAnsi="Times New Roman" w:eastAsia="仿宋" w:cs="Times New Roman"/>
          <w:bCs/>
          <w:highlight w:val="none"/>
          <w:lang w:val="en-US" w:eastAsia="zh-CN"/>
        </w:rPr>
        <w:t>适时</w:t>
      </w:r>
      <w:r>
        <w:rPr>
          <w:rFonts w:ascii="Times New Roman" w:hAnsi="Times New Roman" w:eastAsia="仿宋" w:cs="Times New Roman"/>
          <w:bCs/>
          <w:highlight w:val="none"/>
        </w:rPr>
        <w:t>将</w:t>
      </w:r>
      <w:r>
        <w:rPr>
          <w:rFonts w:hint="default" w:ascii="Times New Roman" w:hAnsi="Times New Roman" w:eastAsia="仿宋" w:cs="Times New Roman"/>
          <w:bCs/>
          <w:highlight w:val="none"/>
          <w:lang w:val="en-US" w:eastAsia="zh-CN"/>
        </w:rPr>
        <w:t>好的</w:t>
      </w:r>
      <w:r>
        <w:rPr>
          <w:rFonts w:ascii="Times New Roman" w:hAnsi="Times New Roman" w:eastAsia="仿宋" w:cs="Times New Roman"/>
          <w:bCs/>
          <w:highlight w:val="none"/>
        </w:rPr>
        <w:t>经验做法纳入有关政策文件</w:t>
      </w:r>
      <w:r>
        <w:rPr>
          <w:rFonts w:hint="eastAsia" w:ascii="Times New Roman" w:hAnsi="Times New Roman" w:eastAsia="仿宋" w:cs="Times New Roman"/>
          <w:bCs/>
          <w:highlight w:val="none"/>
        </w:rPr>
        <w:t>，推动形成建设学习型社会的良好氛围</w:t>
      </w:r>
      <w:r>
        <w:rPr>
          <w:rFonts w:hint="eastAsia" w:ascii="Times New Roman" w:hAnsi="Times New Roman" w:eastAsia="仿宋" w:cs="Times New Roman"/>
          <w:bCs/>
          <w:highlight w:val="none"/>
          <w:lang w:eastAsia="zh-CN"/>
        </w:rPr>
        <w:t>。</w:t>
      </w:r>
    </w:p>
    <w:p>
      <w:pPr>
        <w:widowControl/>
        <w:spacing w:line="560" w:lineRule="exact"/>
        <w:jc w:val="left"/>
        <w:rPr>
          <w:rFonts w:hint="default" w:ascii="Times New Roman" w:hAnsi="Times New Roman" w:eastAsia="方正小标宋简体" w:cs="Times New Roman"/>
          <w:sz w:val="44"/>
          <w:szCs w:val="44"/>
          <w:highlight w:val="none"/>
        </w:rPr>
      </w:pPr>
    </w:p>
    <w:bookmarkEnd w:id="0"/>
    <w:bookmarkEnd w:id="1"/>
    <w:p>
      <w:pPr>
        <w:pStyle w:val="2"/>
        <w:spacing w:line="560" w:lineRule="exact"/>
        <w:ind w:firstLine="641"/>
        <w:rPr>
          <w:rFonts w:hint="default" w:ascii="Times New Roman" w:hAnsi="Times New Roman" w:cs="Times New Roman"/>
          <w:highlight w:val="none"/>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vert="horz" wrap="none" lIns="0" tIns="0" rIns="0" bIns="0" anchor="t" anchorCtr="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TGB/d4BAAC+AwAADgAAAGRycy9lMm9Eb2MueG1srVPBjtMwEL0j8Q+W&#10;7zRph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MwJSwM///p5/v33/OcH&#10;e53k6XxcUdaNpzzs30JPSzP5IzkT674JNv2JD6M4iXu6iKt6ZDJdWi6Wy5JCkmLTgfCLu+s+RHyv&#10;wLJkVDzQ9LKo4vgx4pA6paRqDq61MXmCxv3nIMzkKVLvQ4/Jwn7Xj4R2UJ+IDz0DqtNC+M5ZR0tQ&#10;cUc7z5n54EjjtC+TESZjNxnCSbpYceRsMN/hsFcHH/S+Jdx5bj76NwekTjOB1MZQe+yOxpolGFcw&#10;7c2/55x19+w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ZMYH93gEAAL4DAAAOAAAAAAAA&#10;AAEAIAAAAB4BAABkcnMvZTJvRG9jLnhtbFBLBQYAAAAABgAGAFkBAABuBQAAAAA=&#10;">
              <v:fill on="f" focussize="0,0"/>
              <v:stroke on="f"/>
              <v:imagedata o:title=""/>
              <o:lock v:ext="edit" aspectratio="f"/>
              <v:textbox inset="0mm,0mm,0mm,0mm" style="mso-fit-shape-to-text:t;">
                <w:txbxContent>
                  <w:p>
                    <w:pPr>
                      <w:pStyle w:val="1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FACB1"/>
    <w:multiLevelType w:val="singleLevel"/>
    <w:tmpl w:val="8D6FACB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GY0N2NiYWE0NjUyNTBlODc4YWFhZTY1ODU1ZjcifQ=="/>
    <w:docVar w:name="KSO_WPS_MARK_KEY" w:val="dbfc5bc6-fbe7-4004-ae1c-610ebb7e0a08"/>
  </w:docVars>
  <w:rsids>
    <w:rsidRoot w:val="00580732"/>
    <w:rsid w:val="000D7C95"/>
    <w:rsid w:val="00173ECF"/>
    <w:rsid w:val="00196524"/>
    <w:rsid w:val="003C7093"/>
    <w:rsid w:val="00434E63"/>
    <w:rsid w:val="00580732"/>
    <w:rsid w:val="00816E50"/>
    <w:rsid w:val="009077F7"/>
    <w:rsid w:val="00A71155"/>
    <w:rsid w:val="00AB3EB5"/>
    <w:rsid w:val="00AF5A58"/>
    <w:rsid w:val="00C84A9D"/>
    <w:rsid w:val="00CD0D99"/>
    <w:rsid w:val="00DF3466"/>
    <w:rsid w:val="00E3022F"/>
    <w:rsid w:val="00ED6060"/>
    <w:rsid w:val="00FF3A31"/>
    <w:rsid w:val="011E4130"/>
    <w:rsid w:val="014C330F"/>
    <w:rsid w:val="01E501E1"/>
    <w:rsid w:val="03836DAD"/>
    <w:rsid w:val="039409E7"/>
    <w:rsid w:val="04820ADC"/>
    <w:rsid w:val="05B72A07"/>
    <w:rsid w:val="06BE33DF"/>
    <w:rsid w:val="0746576F"/>
    <w:rsid w:val="075D3750"/>
    <w:rsid w:val="08856887"/>
    <w:rsid w:val="089F0F42"/>
    <w:rsid w:val="08CC79B1"/>
    <w:rsid w:val="09BB20BA"/>
    <w:rsid w:val="0A5E2710"/>
    <w:rsid w:val="0AC45D43"/>
    <w:rsid w:val="0AD442BD"/>
    <w:rsid w:val="0C4F1BEB"/>
    <w:rsid w:val="0C61547A"/>
    <w:rsid w:val="0CB41A4E"/>
    <w:rsid w:val="0CC53447"/>
    <w:rsid w:val="0CC97152"/>
    <w:rsid w:val="0F055929"/>
    <w:rsid w:val="0F3D3C09"/>
    <w:rsid w:val="0F766ED1"/>
    <w:rsid w:val="0F9F2B11"/>
    <w:rsid w:val="0FF40362"/>
    <w:rsid w:val="103E61FE"/>
    <w:rsid w:val="10480457"/>
    <w:rsid w:val="120840F5"/>
    <w:rsid w:val="12F45C63"/>
    <w:rsid w:val="13272F7A"/>
    <w:rsid w:val="132900D9"/>
    <w:rsid w:val="13431A4F"/>
    <w:rsid w:val="13CA10BB"/>
    <w:rsid w:val="14A43AED"/>
    <w:rsid w:val="15B30485"/>
    <w:rsid w:val="15BA4F47"/>
    <w:rsid w:val="16850783"/>
    <w:rsid w:val="16914482"/>
    <w:rsid w:val="169C414C"/>
    <w:rsid w:val="176F6C9D"/>
    <w:rsid w:val="178D610E"/>
    <w:rsid w:val="17CE6EAF"/>
    <w:rsid w:val="19A51DFB"/>
    <w:rsid w:val="19BD6D24"/>
    <w:rsid w:val="19C50978"/>
    <w:rsid w:val="19C808E7"/>
    <w:rsid w:val="1BD17F27"/>
    <w:rsid w:val="1BE10978"/>
    <w:rsid w:val="1BF943A7"/>
    <w:rsid w:val="1CC9613D"/>
    <w:rsid w:val="1CF1360D"/>
    <w:rsid w:val="1CF5759E"/>
    <w:rsid w:val="1DD40180"/>
    <w:rsid w:val="1DF919B7"/>
    <w:rsid w:val="1DF97928"/>
    <w:rsid w:val="1DFF17A0"/>
    <w:rsid w:val="1E7E00C2"/>
    <w:rsid w:val="1EBF849C"/>
    <w:rsid w:val="1F464788"/>
    <w:rsid w:val="1F640553"/>
    <w:rsid w:val="1FBC4A4A"/>
    <w:rsid w:val="206A00C8"/>
    <w:rsid w:val="208C3089"/>
    <w:rsid w:val="20EB2DA5"/>
    <w:rsid w:val="2141177B"/>
    <w:rsid w:val="218D4C19"/>
    <w:rsid w:val="21B912FE"/>
    <w:rsid w:val="21C64DA2"/>
    <w:rsid w:val="22162B37"/>
    <w:rsid w:val="227B0BEC"/>
    <w:rsid w:val="22AC2983"/>
    <w:rsid w:val="231150AD"/>
    <w:rsid w:val="234F253A"/>
    <w:rsid w:val="23792F29"/>
    <w:rsid w:val="244B2840"/>
    <w:rsid w:val="248A1E0A"/>
    <w:rsid w:val="256625D1"/>
    <w:rsid w:val="25DE6C64"/>
    <w:rsid w:val="26036B82"/>
    <w:rsid w:val="26555887"/>
    <w:rsid w:val="265E095A"/>
    <w:rsid w:val="26B45625"/>
    <w:rsid w:val="27113084"/>
    <w:rsid w:val="277F647E"/>
    <w:rsid w:val="282F1367"/>
    <w:rsid w:val="28767417"/>
    <w:rsid w:val="28894611"/>
    <w:rsid w:val="28F6721F"/>
    <w:rsid w:val="29345F99"/>
    <w:rsid w:val="295B4E5E"/>
    <w:rsid w:val="2B3171C9"/>
    <w:rsid w:val="2C5507BE"/>
    <w:rsid w:val="2D4461E3"/>
    <w:rsid w:val="2D65237A"/>
    <w:rsid w:val="2DE15C1F"/>
    <w:rsid w:val="2EC91137"/>
    <w:rsid w:val="2ED9575E"/>
    <w:rsid w:val="2F661D64"/>
    <w:rsid w:val="2F683427"/>
    <w:rsid w:val="30274EA0"/>
    <w:rsid w:val="303F524A"/>
    <w:rsid w:val="30CB15DE"/>
    <w:rsid w:val="31505375"/>
    <w:rsid w:val="31B42E8A"/>
    <w:rsid w:val="32146967"/>
    <w:rsid w:val="326E22D2"/>
    <w:rsid w:val="32E84CDD"/>
    <w:rsid w:val="32EE71B8"/>
    <w:rsid w:val="33231F0B"/>
    <w:rsid w:val="33EF5C63"/>
    <w:rsid w:val="34993154"/>
    <w:rsid w:val="349C7762"/>
    <w:rsid w:val="355D6CD6"/>
    <w:rsid w:val="36A91D74"/>
    <w:rsid w:val="36F56D67"/>
    <w:rsid w:val="37242F9D"/>
    <w:rsid w:val="377E1889"/>
    <w:rsid w:val="37B24C58"/>
    <w:rsid w:val="38BA65E4"/>
    <w:rsid w:val="38C70389"/>
    <w:rsid w:val="395F0B0A"/>
    <w:rsid w:val="397A17A6"/>
    <w:rsid w:val="39BD5CE8"/>
    <w:rsid w:val="39E21F67"/>
    <w:rsid w:val="3A2F5966"/>
    <w:rsid w:val="3A3505CA"/>
    <w:rsid w:val="3A6FB7DD"/>
    <w:rsid w:val="3A781C3A"/>
    <w:rsid w:val="3BAF3257"/>
    <w:rsid w:val="3BF6A2FB"/>
    <w:rsid w:val="3C261771"/>
    <w:rsid w:val="3CB60C08"/>
    <w:rsid w:val="3D430E10"/>
    <w:rsid w:val="3D5B3560"/>
    <w:rsid w:val="3E070DBF"/>
    <w:rsid w:val="3E0E558B"/>
    <w:rsid w:val="3E1C107E"/>
    <w:rsid w:val="3EAF1EF2"/>
    <w:rsid w:val="3EBD7140"/>
    <w:rsid w:val="3EFDDD23"/>
    <w:rsid w:val="3F835B4D"/>
    <w:rsid w:val="3F9D7F9C"/>
    <w:rsid w:val="3FA864D0"/>
    <w:rsid w:val="3FBE6719"/>
    <w:rsid w:val="3FD501D5"/>
    <w:rsid w:val="3FDFD830"/>
    <w:rsid w:val="3FE7CB50"/>
    <w:rsid w:val="3FEB595D"/>
    <w:rsid w:val="3FFF1CD2"/>
    <w:rsid w:val="40552625"/>
    <w:rsid w:val="406D5BC1"/>
    <w:rsid w:val="407F76A2"/>
    <w:rsid w:val="40B57568"/>
    <w:rsid w:val="4102550F"/>
    <w:rsid w:val="421A185D"/>
    <w:rsid w:val="43384925"/>
    <w:rsid w:val="434626F9"/>
    <w:rsid w:val="44550E45"/>
    <w:rsid w:val="44814E5D"/>
    <w:rsid w:val="44CE6E75"/>
    <w:rsid w:val="45297B1C"/>
    <w:rsid w:val="462A21E1"/>
    <w:rsid w:val="4665733A"/>
    <w:rsid w:val="474706E1"/>
    <w:rsid w:val="47EB386F"/>
    <w:rsid w:val="480D1AA5"/>
    <w:rsid w:val="485B27A2"/>
    <w:rsid w:val="48790797"/>
    <w:rsid w:val="48A71E0D"/>
    <w:rsid w:val="48CE7418"/>
    <w:rsid w:val="491C71EC"/>
    <w:rsid w:val="49606934"/>
    <w:rsid w:val="4ABF6CD6"/>
    <w:rsid w:val="4B8B30E8"/>
    <w:rsid w:val="4C0428ED"/>
    <w:rsid w:val="4C5C4D3B"/>
    <w:rsid w:val="4D2910FA"/>
    <w:rsid w:val="4D8E227E"/>
    <w:rsid w:val="4D91475A"/>
    <w:rsid w:val="4EBB6963"/>
    <w:rsid w:val="5060514F"/>
    <w:rsid w:val="50F932FB"/>
    <w:rsid w:val="51F92A22"/>
    <w:rsid w:val="53073C53"/>
    <w:rsid w:val="536E34F6"/>
    <w:rsid w:val="537F43F1"/>
    <w:rsid w:val="53CA0019"/>
    <w:rsid w:val="54850B9F"/>
    <w:rsid w:val="55491250"/>
    <w:rsid w:val="556D0B0B"/>
    <w:rsid w:val="563A7D99"/>
    <w:rsid w:val="564A12CA"/>
    <w:rsid w:val="56526E40"/>
    <w:rsid w:val="567A6A7A"/>
    <w:rsid w:val="56A77ED4"/>
    <w:rsid w:val="56E20093"/>
    <w:rsid w:val="582F3781"/>
    <w:rsid w:val="588D1722"/>
    <w:rsid w:val="589747D4"/>
    <w:rsid w:val="58CC742A"/>
    <w:rsid w:val="58DB41D4"/>
    <w:rsid w:val="58F62E65"/>
    <w:rsid w:val="596312E4"/>
    <w:rsid w:val="59D5023D"/>
    <w:rsid w:val="5C045110"/>
    <w:rsid w:val="5C076A71"/>
    <w:rsid w:val="5C2D6438"/>
    <w:rsid w:val="5C5D3D2F"/>
    <w:rsid w:val="5CDF4D5C"/>
    <w:rsid w:val="5D240E65"/>
    <w:rsid w:val="5E40626B"/>
    <w:rsid w:val="5E43633E"/>
    <w:rsid w:val="5E443BBB"/>
    <w:rsid w:val="5E49307D"/>
    <w:rsid w:val="5ECF40D7"/>
    <w:rsid w:val="5F042B08"/>
    <w:rsid w:val="5F6708A7"/>
    <w:rsid w:val="5F6743F2"/>
    <w:rsid w:val="5FDDC2A2"/>
    <w:rsid w:val="5FEF2D5D"/>
    <w:rsid w:val="5FEFB9B0"/>
    <w:rsid w:val="600D6620"/>
    <w:rsid w:val="603441C9"/>
    <w:rsid w:val="61E965BE"/>
    <w:rsid w:val="626B58FB"/>
    <w:rsid w:val="635A6EBD"/>
    <w:rsid w:val="63862972"/>
    <w:rsid w:val="640166F9"/>
    <w:rsid w:val="64490110"/>
    <w:rsid w:val="6451743C"/>
    <w:rsid w:val="645538E6"/>
    <w:rsid w:val="64C00EBA"/>
    <w:rsid w:val="64EC424E"/>
    <w:rsid w:val="655B7E2E"/>
    <w:rsid w:val="6605529F"/>
    <w:rsid w:val="66130214"/>
    <w:rsid w:val="66546D57"/>
    <w:rsid w:val="665E35B4"/>
    <w:rsid w:val="666A06AA"/>
    <w:rsid w:val="66AA4BC9"/>
    <w:rsid w:val="66BA7D20"/>
    <w:rsid w:val="66ED0F5A"/>
    <w:rsid w:val="67204307"/>
    <w:rsid w:val="67813AA8"/>
    <w:rsid w:val="67963CA7"/>
    <w:rsid w:val="67C71DF8"/>
    <w:rsid w:val="686F709E"/>
    <w:rsid w:val="68772EE9"/>
    <w:rsid w:val="689C6999"/>
    <w:rsid w:val="68D23332"/>
    <w:rsid w:val="69724AAA"/>
    <w:rsid w:val="6AA71493"/>
    <w:rsid w:val="6B99543F"/>
    <w:rsid w:val="6BCF4A69"/>
    <w:rsid w:val="6C9E2ED5"/>
    <w:rsid w:val="6D3814D5"/>
    <w:rsid w:val="6D52B7AA"/>
    <w:rsid w:val="6E3F02ED"/>
    <w:rsid w:val="6E6F6301"/>
    <w:rsid w:val="6F2D4A44"/>
    <w:rsid w:val="6F3FF37A"/>
    <w:rsid w:val="6F726D5E"/>
    <w:rsid w:val="6FFB8769"/>
    <w:rsid w:val="6FFF6A17"/>
    <w:rsid w:val="701168AE"/>
    <w:rsid w:val="70553DF8"/>
    <w:rsid w:val="7066792E"/>
    <w:rsid w:val="707324D0"/>
    <w:rsid w:val="70764AAE"/>
    <w:rsid w:val="70BD4F2B"/>
    <w:rsid w:val="71145A61"/>
    <w:rsid w:val="71441EA8"/>
    <w:rsid w:val="71810C1C"/>
    <w:rsid w:val="71862C3F"/>
    <w:rsid w:val="71A664FA"/>
    <w:rsid w:val="728845B0"/>
    <w:rsid w:val="72E7B609"/>
    <w:rsid w:val="738442B3"/>
    <w:rsid w:val="739A665C"/>
    <w:rsid w:val="741170F1"/>
    <w:rsid w:val="74B5598E"/>
    <w:rsid w:val="74F20C95"/>
    <w:rsid w:val="755B137B"/>
    <w:rsid w:val="76574A27"/>
    <w:rsid w:val="767D35FC"/>
    <w:rsid w:val="76A407ED"/>
    <w:rsid w:val="76F6E0D7"/>
    <w:rsid w:val="771A7B3A"/>
    <w:rsid w:val="77B27D81"/>
    <w:rsid w:val="77CA27E0"/>
    <w:rsid w:val="783E13C6"/>
    <w:rsid w:val="7876B0EF"/>
    <w:rsid w:val="78A70F68"/>
    <w:rsid w:val="795135CA"/>
    <w:rsid w:val="796F4047"/>
    <w:rsid w:val="79A225C5"/>
    <w:rsid w:val="79B92B6F"/>
    <w:rsid w:val="79DF1F10"/>
    <w:rsid w:val="7A6526C3"/>
    <w:rsid w:val="7ACA3634"/>
    <w:rsid w:val="7ACA7844"/>
    <w:rsid w:val="7AD10434"/>
    <w:rsid w:val="7AD469DC"/>
    <w:rsid w:val="7AD579F5"/>
    <w:rsid w:val="7ADD3367"/>
    <w:rsid w:val="7B146B49"/>
    <w:rsid w:val="7B446F42"/>
    <w:rsid w:val="7BDFD265"/>
    <w:rsid w:val="7BF52857"/>
    <w:rsid w:val="7CC665AD"/>
    <w:rsid w:val="7CC70BB8"/>
    <w:rsid w:val="7D1F47FC"/>
    <w:rsid w:val="7D26A58E"/>
    <w:rsid w:val="7D96EC00"/>
    <w:rsid w:val="7DDABDBF"/>
    <w:rsid w:val="7DE40596"/>
    <w:rsid w:val="7DF86EE1"/>
    <w:rsid w:val="7E096EBE"/>
    <w:rsid w:val="7EFDFFFE"/>
    <w:rsid w:val="7EFFB417"/>
    <w:rsid w:val="7F1F1AE3"/>
    <w:rsid w:val="7F950F7F"/>
    <w:rsid w:val="7F9E186F"/>
    <w:rsid w:val="7FC47E0A"/>
    <w:rsid w:val="7FFF67EB"/>
    <w:rsid w:val="AFA5D01F"/>
    <w:rsid w:val="B3FF85B7"/>
    <w:rsid w:val="BBC44825"/>
    <w:rsid w:val="BD5B4785"/>
    <w:rsid w:val="BEB39AB0"/>
    <w:rsid w:val="BEFFACD8"/>
    <w:rsid w:val="BF9F049C"/>
    <w:rsid w:val="CFFB631C"/>
    <w:rsid w:val="DDE67AB0"/>
    <w:rsid w:val="DDFDE40F"/>
    <w:rsid w:val="E5FFF8EE"/>
    <w:rsid w:val="EBBF9A00"/>
    <w:rsid w:val="EEFEA715"/>
    <w:rsid w:val="EFB7694B"/>
    <w:rsid w:val="EFCD6826"/>
    <w:rsid w:val="F3FA4A76"/>
    <w:rsid w:val="F5BCBD19"/>
    <w:rsid w:val="F5C72920"/>
    <w:rsid w:val="F657361A"/>
    <w:rsid w:val="F9DB6536"/>
    <w:rsid w:val="FBCF5A84"/>
    <w:rsid w:val="FDE38C27"/>
    <w:rsid w:val="FE5F5D42"/>
    <w:rsid w:val="FEBFC5B7"/>
    <w:rsid w:val="FEDEA6A9"/>
    <w:rsid w:val="FEE78C6B"/>
    <w:rsid w:val="FEFDD5E1"/>
    <w:rsid w:val="FF1F9368"/>
    <w:rsid w:val="FF7E8382"/>
    <w:rsid w:val="FF7F7368"/>
    <w:rsid w:val="FFAFCA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
      <w:kern w:val="2"/>
      <w:sz w:val="32"/>
      <w:szCs w:val="32"/>
      <w:lang w:val="en-US" w:eastAsia="zh-CN" w:bidi="ar-SA"/>
    </w:rPr>
  </w:style>
  <w:style w:type="paragraph" w:styleId="7">
    <w:name w:val="heading 1"/>
    <w:basedOn w:val="1"/>
    <w:next w:val="1"/>
    <w:qFormat/>
    <w:uiPriority w:val="0"/>
    <w:pPr>
      <w:spacing w:beforeAutospacing="1" w:afterAutospacing="1"/>
      <w:jc w:val="left"/>
      <w:outlineLvl w:val="0"/>
    </w:pPr>
    <w:rPr>
      <w:rFonts w:hint="eastAsia" w:ascii="宋体" w:hAnsi="宋体" w:eastAsia="楷体" w:cs="Times New Roman"/>
      <w:b/>
      <w:kern w:val="44"/>
      <w:sz w:val="28"/>
      <w:szCs w:val="48"/>
    </w:rPr>
  </w:style>
  <w:style w:type="paragraph" w:styleId="8">
    <w:name w:val="heading 3"/>
    <w:basedOn w:val="1"/>
    <w:next w:val="1"/>
    <w:link w:val="19"/>
    <w:qFormat/>
    <w:uiPriority w:val="9"/>
    <w:pPr>
      <w:keepNext/>
      <w:keepLines/>
      <w:spacing w:before="260" w:after="260" w:line="416" w:lineRule="auto"/>
      <w:outlineLvl w:val="2"/>
    </w:pPr>
    <w:rPr>
      <w:b/>
      <w:bCs/>
      <w:kern w:val="0"/>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宋体" w:hAnsi="宋体" w:cs="宋体"/>
      <w:szCs w:val="30"/>
      <w:lang w:val="zh-CN" w:bidi="zh-CN"/>
    </w:rPr>
  </w:style>
  <w:style w:type="paragraph" w:styleId="3">
    <w:name w:val="Body Text First Indent 2"/>
    <w:basedOn w:val="4"/>
    <w:qFormat/>
    <w:uiPriority w:val="0"/>
    <w:pPr>
      <w:tabs>
        <w:tab w:val="left" w:pos="0"/>
        <w:tab w:val="left" w:pos="180"/>
        <w:tab w:val="left" w:pos="540"/>
      </w:tabs>
      <w:ind w:firstLine="420" w:firstLineChars="200"/>
    </w:pPr>
  </w:style>
  <w:style w:type="paragraph" w:styleId="4">
    <w:name w:val="Body Text Indent"/>
    <w:basedOn w:val="1"/>
    <w:next w:val="5"/>
    <w:qFormat/>
    <w:uiPriority w:val="0"/>
    <w:pPr>
      <w:ind w:firstLine="630"/>
    </w:pPr>
    <w:rPr>
      <w:rFonts w:ascii="仿宋_GB2312" w:eastAsia="仿宋_GB2312"/>
      <w:sz w:val="32"/>
    </w:rPr>
  </w:style>
  <w:style w:type="paragraph" w:customStyle="1" w:styleId="5">
    <w:name w:val="Body Text First Indent 21"/>
    <w:basedOn w:val="6"/>
    <w:qFormat/>
    <w:uiPriority w:val="0"/>
    <w:pPr>
      <w:ind w:firstLine="420"/>
    </w:pPr>
  </w:style>
  <w:style w:type="paragraph" w:customStyle="1" w:styleId="6">
    <w:name w:val="Body Text Indent1"/>
    <w:basedOn w:val="1"/>
    <w:qFormat/>
    <w:uiPriority w:val="0"/>
    <w:pPr>
      <w:spacing w:line="500" w:lineRule="exact"/>
      <w:ind w:firstLine="880" w:firstLineChars="200"/>
    </w:pPr>
    <w:rPr>
      <w:rFonts w:ascii="Times New Roman" w:hAnsi="Times New Roman" w:eastAsia="宋体" w:cs="Times New Roman"/>
    </w:rPr>
  </w:style>
  <w:style w:type="paragraph" w:styleId="9">
    <w:name w:val="annotation text"/>
    <w:basedOn w:val="1"/>
    <w:link w:val="20"/>
    <w:qFormat/>
    <w:uiPriority w:val="0"/>
    <w:pPr>
      <w:jc w:val="left"/>
    </w:p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9"/>
    <w:next w:val="9"/>
    <w:link w:val="21"/>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qFormat/>
    <w:uiPriority w:val="0"/>
    <w:rPr>
      <w:sz w:val="21"/>
      <w:szCs w:val="21"/>
    </w:rPr>
  </w:style>
  <w:style w:type="character" w:customStyle="1" w:styleId="19">
    <w:name w:val="标题 3 字符1"/>
    <w:link w:val="8"/>
    <w:qFormat/>
    <w:uiPriority w:val="9"/>
    <w:rPr>
      <w:b/>
      <w:bCs/>
      <w:kern w:val="0"/>
      <w:sz w:val="32"/>
      <w:szCs w:val="32"/>
    </w:rPr>
  </w:style>
  <w:style w:type="character" w:customStyle="1" w:styleId="20">
    <w:name w:val="批注文字 字符"/>
    <w:basedOn w:val="17"/>
    <w:link w:val="9"/>
    <w:qFormat/>
    <w:uiPriority w:val="0"/>
    <w:rPr>
      <w:rFonts w:cs="仿宋"/>
      <w:kern w:val="2"/>
      <w:sz w:val="32"/>
      <w:szCs w:val="32"/>
    </w:rPr>
  </w:style>
  <w:style w:type="character" w:customStyle="1" w:styleId="21">
    <w:name w:val="批注主题 字符"/>
    <w:basedOn w:val="20"/>
    <w:link w:val="14"/>
    <w:qFormat/>
    <w:uiPriority w:val="0"/>
    <w:rPr>
      <w:rFonts w:cs="仿宋"/>
      <w:b/>
      <w:bCs/>
      <w:kern w:val="2"/>
      <w:sz w:val="32"/>
      <w:szCs w:val="32"/>
    </w:rPr>
  </w:style>
  <w:style w:type="character" w:customStyle="1" w:styleId="22">
    <w:name w:val="src"/>
    <w:basedOn w:val="17"/>
    <w:qFormat/>
    <w:uiPriority w:val="0"/>
  </w:style>
  <w:style w:type="character" w:customStyle="1" w:styleId="23">
    <w:name w:val="标题 3 字符"/>
    <w:qFormat/>
    <w:uiPriority w:val="9"/>
    <w:rPr>
      <w:b/>
      <w:bCs/>
      <w:kern w:val="0"/>
      <w:sz w:val="32"/>
      <w:szCs w:val="32"/>
    </w:rPr>
  </w:style>
  <w:style w:type="paragraph" w:customStyle="1" w:styleId="24">
    <w:name w:val="Body text|1"/>
    <w:basedOn w:val="1"/>
    <w:qFormat/>
    <w:uiPriority w:val="0"/>
    <w:pPr>
      <w:spacing w:line="415" w:lineRule="auto"/>
      <w:ind w:firstLine="400"/>
      <w:jc w:val="left"/>
    </w:pPr>
    <w:rPr>
      <w:rFonts w:ascii="宋体" w:hAnsi="宋体" w:eastAsia="宋体" w:cs="宋体"/>
      <w:kern w:val="0"/>
      <w:sz w:val="28"/>
      <w:szCs w:val="28"/>
      <w:lang w:val="zh-TW" w:eastAsia="zh-TW" w:bidi="zh-TW"/>
    </w:rPr>
  </w:style>
  <w:style w:type="paragraph" w:customStyle="1" w:styleId="25">
    <w:name w:val="列表段落1"/>
    <w:basedOn w:val="1"/>
    <w:qFormat/>
    <w:uiPriority w:val="99"/>
    <w:pPr>
      <w:ind w:firstLine="420" w:firstLineChars="200"/>
    </w:pPr>
  </w:style>
  <w:style w:type="paragraph" w:customStyle="1" w:styleId="26">
    <w:name w:val="首行缩进"/>
    <w:basedOn w:val="1"/>
    <w:qFormat/>
    <w:uiPriority w:val="0"/>
  </w:style>
  <w:style w:type="paragraph" w:customStyle="1" w:styleId="27">
    <w:name w:val="修订1"/>
    <w:semiHidden/>
    <w:qFormat/>
    <w:uiPriority w:val="99"/>
    <w:rPr>
      <w:rFonts w:ascii="Calibri" w:hAnsi="Calibri" w:eastAsia="宋体" w:cs="仿宋"/>
      <w:kern w:val="2"/>
      <w:sz w:val="32"/>
      <w:szCs w:val="32"/>
      <w:lang w:val="en-US" w:eastAsia="zh-CN" w:bidi="ar-SA"/>
    </w:rPr>
  </w:style>
  <w:style w:type="paragraph" w:customStyle="1" w:styleId="28">
    <w:name w:val="Revision"/>
    <w:semiHidden/>
    <w:qFormat/>
    <w:uiPriority w:val="99"/>
    <w:rPr>
      <w:rFonts w:ascii="Calibri" w:hAnsi="Calibri" w:eastAsia="宋体" w:cs="仿宋"/>
      <w:kern w:val="2"/>
      <w:sz w:val="32"/>
      <w:szCs w:val="32"/>
      <w:lang w:val="en-US" w:eastAsia="zh-CN" w:bidi="ar-SA"/>
    </w:rPr>
  </w:style>
  <w:style w:type="paragraph" w:customStyle="1" w:styleId="29">
    <w:name w:val="m_标题"/>
    <w:basedOn w:val="1"/>
    <w:next w:val="30"/>
    <w:qFormat/>
    <w:uiPriority w:val="0"/>
    <w:pPr>
      <w:spacing w:line="560" w:lineRule="exact"/>
      <w:jc w:val="center"/>
    </w:pPr>
    <w:rPr>
      <w:rFonts w:ascii="方正小标宋简体" w:eastAsia="方正小标宋简体"/>
      <w:kern w:val="0"/>
      <w:sz w:val="44"/>
      <w:szCs w:val="20"/>
    </w:rPr>
  </w:style>
  <w:style w:type="paragraph" w:customStyle="1" w:styleId="30">
    <w:name w:val="m_正文"/>
    <w:basedOn w:val="1"/>
    <w:qFormat/>
    <w:uiPriority w:val="0"/>
    <w:pPr>
      <w:spacing w:line="560" w:lineRule="exact"/>
      <w:ind w:firstLine="640" w:firstLineChars="200"/>
    </w:pPr>
    <w:rPr>
      <w:rFonts w:ascii="仿宋_GB2312" w:eastAsia="仿宋_GB2312"/>
      <w:kern w:val="0"/>
      <w:sz w:val="3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3101</Words>
  <Characters>3173</Characters>
  <Lines>103</Lines>
  <Paragraphs>29</Paragraphs>
  <TotalTime>2</TotalTime>
  <ScaleCrop>false</ScaleCrop>
  <LinksUpToDate>false</LinksUpToDate>
  <CharactersWithSpaces>3176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2023-03-14T18:12:00Z</dcterms:created>
  <dc:creator>Lenovo</dc:creator>
  <cp:lastModifiedBy>北京大学</cp:lastModifiedBy>
  <cp:lastPrinted>2023-08-15T09:34:00Z</cp:lastPrinted>
  <dcterms:modified xsi:type="dcterms:W3CDTF">2023-09-06T03:18:34Z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DEC7CC068A014E01BF68258662F27BEA</vt:lpwstr>
  </property>
</Properties>
</file>