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4D1" w:rsidRDefault="00DC24D1" w:rsidP="00DC24D1">
      <w:pPr>
        <w:jc w:val="left"/>
        <w:rPr>
          <w:rFonts w:ascii="黑体" w:eastAsia="黑体" w:hAnsi="黑体"/>
          <w:b/>
          <w:sz w:val="32"/>
        </w:rPr>
      </w:pPr>
      <w:r w:rsidRPr="00DE3DCF">
        <w:rPr>
          <w:rFonts w:ascii="黑体" w:eastAsia="黑体" w:hAnsi="黑体" w:hint="eastAsia"/>
          <w:b/>
          <w:sz w:val="28"/>
        </w:rPr>
        <w:t>附件1</w:t>
      </w:r>
      <w:r w:rsidRPr="00DE3DCF">
        <w:rPr>
          <w:rFonts w:ascii="黑体" w:eastAsia="黑体" w:hAnsi="黑体"/>
          <w:b/>
          <w:sz w:val="28"/>
        </w:rPr>
        <w:t xml:space="preserve">    </w:t>
      </w:r>
      <w:r w:rsidRPr="00DE3DCF">
        <w:rPr>
          <w:rFonts w:ascii="黑体" w:eastAsia="黑体" w:hAnsi="黑体"/>
          <w:b/>
          <w:sz w:val="24"/>
        </w:rPr>
        <w:t xml:space="preserve">      </w:t>
      </w:r>
      <w:r>
        <w:rPr>
          <w:rFonts w:ascii="黑体" w:eastAsia="黑体" w:hAnsi="黑体"/>
          <w:b/>
          <w:sz w:val="24"/>
        </w:rPr>
        <w:t xml:space="preserve">     </w:t>
      </w:r>
      <w:r w:rsidRPr="00DE3DCF">
        <w:rPr>
          <w:rFonts w:ascii="黑体" w:eastAsia="黑体" w:hAnsi="黑体"/>
          <w:b/>
          <w:sz w:val="32"/>
        </w:rPr>
        <w:t xml:space="preserve">    </w:t>
      </w:r>
    </w:p>
    <w:p w:rsidR="00DC24D1" w:rsidRPr="00DE3DCF" w:rsidRDefault="00C547A5" w:rsidP="00DC24D1">
      <w:pPr>
        <w:jc w:val="center"/>
        <w:rPr>
          <w:rFonts w:ascii="黑体" w:eastAsia="黑体" w:hAnsi="黑体"/>
          <w:b/>
          <w:sz w:val="24"/>
        </w:rPr>
      </w:pPr>
      <w:r>
        <w:rPr>
          <w:rFonts w:ascii="黑体" w:eastAsia="黑体" w:hAnsi="黑体" w:hint="eastAsia"/>
          <w:b/>
          <w:sz w:val="32"/>
        </w:rPr>
        <w:t>“石大通识</w:t>
      </w:r>
      <w:r w:rsidR="00056A4A">
        <w:rPr>
          <w:rFonts w:ascii="黑体" w:eastAsia="黑体" w:hAnsi="黑体" w:hint="eastAsia"/>
          <w:b/>
          <w:sz w:val="32"/>
        </w:rPr>
        <w:t>2</w:t>
      </w:r>
      <w:r w:rsidR="00056A4A">
        <w:rPr>
          <w:rFonts w:ascii="黑体" w:eastAsia="黑体" w:hAnsi="黑体"/>
          <w:b/>
          <w:sz w:val="32"/>
        </w:rPr>
        <w:t>.0</w:t>
      </w:r>
      <w:r>
        <w:rPr>
          <w:rFonts w:ascii="黑体" w:eastAsia="黑体" w:hAnsi="黑体" w:hint="eastAsia"/>
          <w:b/>
          <w:sz w:val="32"/>
        </w:rPr>
        <w:t>”</w:t>
      </w:r>
      <w:bookmarkStart w:id="0" w:name="_GoBack"/>
      <w:bookmarkEnd w:id="0"/>
      <w:r w:rsidR="00DC24D1" w:rsidRPr="00DE3DCF">
        <w:rPr>
          <w:rFonts w:ascii="黑体" w:eastAsia="黑体" w:hAnsi="黑体" w:hint="eastAsia"/>
          <w:b/>
          <w:sz w:val="32"/>
        </w:rPr>
        <w:t>核心课程建设指南</w:t>
      </w:r>
    </w:p>
    <w:p w:rsidR="00DC24D1" w:rsidRPr="00DE3DCF" w:rsidRDefault="00DC24D1" w:rsidP="00DC24D1">
      <w:pPr>
        <w:snapToGrid w:val="0"/>
        <w:spacing w:line="360" w:lineRule="auto"/>
        <w:ind w:firstLine="643"/>
        <w:jc w:val="center"/>
        <w:rPr>
          <w:rFonts w:ascii="黑体" w:eastAsia="黑体" w:hAnsi="黑体"/>
          <w:b/>
          <w:sz w:val="24"/>
        </w:rPr>
      </w:pPr>
    </w:p>
    <w:p w:rsidR="00DC24D1" w:rsidRPr="005C4B77" w:rsidRDefault="00DC24D1" w:rsidP="00DC24D1">
      <w:pPr>
        <w:snapToGrid w:val="0"/>
        <w:spacing w:line="360" w:lineRule="auto"/>
        <w:ind w:firstLine="643"/>
        <w:jc w:val="center"/>
        <w:rPr>
          <w:rFonts w:ascii="黑体" w:eastAsia="黑体" w:hAnsi="黑体"/>
          <w:b/>
          <w:sz w:val="28"/>
        </w:rPr>
      </w:pPr>
      <w:r w:rsidRPr="005C4B77">
        <w:rPr>
          <w:rFonts w:ascii="黑体" w:eastAsia="黑体" w:hAnsi="黑体" w:hint="eastAsia"/>
          <w:b/>
          <w:sz w:val="28"/>
        </w:rPr>
        <w:t>哲学与现代社会文明</w:t>
      </w:r>
    </w:p>
    <w:p w:rsidR="00DC24D1" w:rsidRPr="005C4B77" w:rsidRDefault="00DC24D1" w:rsidP="00DC24D1">
      <w:pPr>
        <w:pStyle w:val="a8"/>
        <w:numPr>
          <w:ilvl w:val="0"/>
          <w:numId w:val="13"/>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模块内涵</w:t>
      </w:r>
    </w:p>
    <w:p w:rsidR="00DC24D1" w:rsidRPr="002D3376" w:rsidRDefault="00DC24D1" w:rsidP="00DC24D1">
      <w:pPr>
        <w:snapToGrid w:val="0"/>
        <w:spacing w:line="360" w:lineRule="auto"/>
        <w:ind w:firstLineChars="200" w:firstLine="480"/>
        <w:jc w:val="left"/>
        <w:rPr>
          <w:rFonts w:ascii="黑体" w:eastAsia="黑体" w:hAnsi="黑体"/>
          <w:b/>
        </w:rPr>
      </w:pPr>
      <w:r w:rsidRPr="002D3376">
        <w:rPr>
          <w:rFonts w:ascii="仿宋" w:eastAsia="仿宋" w:hAnsi="仿宋" w:hint="eastAsia"/>
          <w:bCs/>
          <w:sz w:val="24"/>
        </w:rPr>
        <w:t>旨在引导学生了解人类社会的基本构成、运作方式及人类社会研究方法的流变，熟知哲学与社会科学的前沿热点问题，把握社会现状与发展趋势，更好地认识现实社会的政治、经济、社会和文化现象。明确自己作为一位卓越公民应尽的社会责任，培养对社会问题的科学思维能力和解决问题的能力。</w:t>
      </w:r>
    </w:p>
    <w:p w:rsidR="00DC24D1" w:rsidRPr="005C4B77" w:rsidRDefault="00DC24D1" w:rsidP="00DC24D1">
      <w:pPr>
        <w:pStyle w:val="a8"/>
        <w:numPr>
          <w:ilvl w:val="0"/>
          <w:numId w:val="13"/>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教学要求</w:t>
      </w:r>
    </w:p>
    <w:p w:rsidR="00DC24D1" w:rsidRPr="00DE3DCF" w:rsidRDefault="00DC24D1" w:rsidP="00DC24D1">
      <w:pPr>
        <w:snapToGrid w:val="0"/>
        <w:spacing w:line="360" w:lineRule="auto"/>
        <w:ind w:firstLine="480"/>
        <w:jc w:val="left"/>
        <w:rPr>
          <w:rFonts w:ascii="仿宋" w:eastAsia="仿宋" w:hAnsi="仿宋"/>
          <w:bCs/>
          <w:sz w:val="24"/>
        </w:rPr>
      </w:pPr>
      <w:r w:rsidRPr="00DE3DCF">
        <w:rPr>
          <w:rFonts w:ascii="仿宋" w:eastAsia="仿宋" w:hAnsi="仿宋" w:hint="eastAsia"/>
          <w:bCs/>
          <w:sz w:val="24"/>
        </w:rPr>
        <w:t>本模块课程的设计应当突出哲学思想与社会科学理论的特色，强调中外思想文化的理解以及思维方式的培育</w:t>
      </w:r>
      <w:r>
        <w:rPr>
          <w:rFonts w:ascii="仿宋" w:eastAsia="仿宋" w:hAnsi="仿宋" w:hint="eastAsia"/>
          <w:bCs/>
          <w:sz w:val="24"/>
        </w:rPr>
        <w:t>。</w:t>
      </w:r>
      <w:r w:rsidR="00A1429C">
        <w:rPr>
          <w:rFonts w:ascii="仿宋" w:eastAsia="仿宋" w:hAnsi="仿宋" w:hint="eastAsia"/>
          <w:bCs/>
          <w:sz w:val="24"/>
        </w:rPr>
        <w:t>鼓励教师在教学时遵循以下</w:t>
      </w:r>
      <w:r w:rsidRPr="00DE3DCF">
        <w:rPr>
          <w:rFonts w:ascii="仿宋" w:eastAsia="仿宋" w:hAnsi="仿宋" w:hint="eastAsia"/>
          <w:bCs/>
          <w:sz w:val="24"/>
        </w:rPr>
        <w:t>原则：</w:t>
      </w:r>
    </w:p>
    <w:p w:rsidR="00DC24D1" w:rsidRPr="004D0847" w:rsidRDefault="00DC24D1" w:rsidP="00DC24D1">
      <w:pPr>
        <w:snapToGrid w:val="0"/>
        <w:spacing w:line="360" w:lineRule="auto"/>
        <w:ind w:firstLine="480"/>
        <w:jc w:val="left"/>
        <w:rPr>
          <w:rFonts w:ascii="仿宋" w:eastAsia="仿宋" w:hAnsi="仿宋"/>
          <w:sz w:val="24"/>
        </w:rPr>
      </w:pPr>
      <w:r w:rsidRPr="004D0847">
        <w:rPr>
          <w:rFonts w:ascii="仿宋" w:eastAsia="仿宋" w:hAnsi="仿宋" w:hint="eastAsia"/>
          <w:sz w:val="24"/>
        </w:rPr>
        <w:t>1</w:t>
      </w:r>
      <w:r w:rsidRPr="004D0847">
        <w:rPr>
          <w:rFonts w:ascii="仿宋" w:eastAsia="仿宋" w:hAnsi="仿宋"/>
          <w:sz w:val="24"/>
        </w:rPr>
        <w:t>.</w:t>
      </w:r>
      <w:r w:rsidRPr="004D0847">
        <w:rPr>
          <w:rFonts w:ascii="仿宋" w:eastAsia="仿宋" w:hAnsi="仿宋" w:hint="eastAsia"/>
          <w:sz w:val="24"/>
        </w:rPr>
        <w:t>多采取跨学科的视角，视社会生活，理解社会的构成和重要过程，鼓励跨院系、多教师联合开设课程；</w:t>
      </w:r>
    </w:p>
    <w:p w:rsidR="00DC24D1" w:rsidRPr="004D0847" w:rsidRDefault="00DC24D1" w:rsidP="00DC24D1">
      <w:pPr>
        <w:snapToGrid w:val="0"/>
        <w:spacing w:line="360" w:lineRule="auto"/>
        <w:ind w:firstLine="480"/>
        <w:jc w:val="left"/>
        <w:rPr>
          <w:rFonts w:ascii="仿宋" w:eastAsia="仿宋" w:hAnsi="仿宋"/>
          <w:sz w:val="24"/>
        </w:rPr>
      </w:pPr>
      <w:r w:rsidRPr="004D0847">
        <w:rPr>
          <w:rFonts w:ascii="仿宋" w:eastAsia="仿宋" w:hAnsi="仿宋" w:hint="eastAsia"/>
          <w:sz w:val="24"/>
        </w:rPr>
        <w:t>2</w:t>
      </w:r>
      <w:r w:rsidRPr="004D0847">
        <w:rPr>
          <w:rFonts w:ascii="仿宋" w:eastAsia="仿宋" w:hAnsi="仿宋"/>
          <w:sz w:val="24"/>
        </w:rPr>
        <w:t>.</w:t>
      </w:r>
      <w:r w:rsidRPr="004D0847">
        <w:rPr>
          <w:rFonts w:ascii="仿宋" w:eastAsia="仿宋" w:hAnsi="仿宋" w:hint="eastAsia"/>
          <w:sz w:val="24"/>
        </w:rPr>
        <w:t>必须针对现实，特别是中国的现实问题，避免从理论到理论，应当突出中国问题和现实关怀；</w:t>
      </w:r>
    </w:p>
    <w:p w:rsidR="00DC24D1" w:rsidRPr="004D0847" w:rsidRDefault="00DC24D1" w:rsidP="00DC24D1">
      <w:pPr>
        <w:snapToGrid w:val="0"/>
        <w:spacing w:line="360" w:lineRule="auto"/>
        <w:ind w:firstLine="480"/>
        <w:jc w:val="left"/>
        <w:rPr>
          <w:rFonts w:ascii="仿宋" w:eastAsia="仿宋" w:hAnsi="仿宋"/>
          <w:sz w:val="24"/>
        </w:rPr>
      </w:pPr>
      <w:r w:rsidRPr="004D0847">
        <w:rPr>
          <w:rFonts w:ascii="仿宋" w:eastAsia="仿宋" w:hAnsi="仿宋"/>
          <w:sz w:val="24"/>
        </w:rPr>
        <w:t>3.</w:t>
      </w:r>
      <w:r w:rsidRPr="004D0847">
        <w:rPr>
          <w:rFonts w:ascii="仿宋" w:eastAsia="仿宋" w:hAnsi="仿宋" w:hint="eastAsia"/>
          <w:sz w:val="24"/>
        </w:rPr>
        <w:t>强调比较研究，尤其是</w:t>
      </w:r>
      <w:proofErr w:type="gramStart"/>
      <w:r w:rsidRPr="004D0847">
        <w:rPr>
          <w:rFonts w:ascii="仿宋" w:eastAsia="仿宋" w:hAnsi="仿宋" w:hint="eastAsia"/>
          <w:sz w:val="24"/>
        </w:rPr>
        <w:t>强调长</w:t>
      </w:r>
      <w:proofErr w:type="gramEnd"/>
      <w:r w:rsidRPr="004D0847">
        <w:rPr>
          <w:rFonts w:ascii="仿宋" w:eastAsia="仿宋" w:hAnsi="仿宋" w:hint="eastAsia"/>
          <w:sz w:val="24"/>
        </w:rPr>
        <w:t>时段、跨学科、宽视野的人类社会现代化道路的比较分析。</w:t>
      </w:r>
    </w:p>
    <w:p w:rsidR="00DC24D1" w:rsidRPr="005C4B77" w:rsidRDefault="00DC24D1" w:rsidP="00DC24D1">
      <w:pPr>
        <w:pStyle w:val="a8"/>
        <w:numPr>
          <w:ilvl w:val="0"/>
          <w:numId w:val="13"/>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基本课程方向</w:t>
      </w:r>
    </w:p>
    <w:p w:rsidR="00DC24D1" w:rsidRPr="002D3376" w:rsidRDefault="00DC24D1" w:rsidP="00DC24D1">
      <w:pPr>
        <w:snapToGrid w:val="0"/>
        <w:spacing w:line="360" w:lineRule="auto"/>
        <w:ind w:firstLineChars="200" w:firstLine="480"/>
        <w:jc w:val="left"/>
        <w:rPr>
          <w:rFonts w:ascii="仿宋" w:eastAsia="仿宋" w:hAnsi="仿宋"/>
          <w:bCs/>
          <w:sz w:val="24"/>
        </w:rPr>
      </w:pPr>
      <w:r w:rsidRPr="002D3376">
        <w:rPr>
          <w:rFonts w:ascii="仿宋" w:eastAsia="仿宋" w:hAnsi="仿宋" w:hint="eastAsia"/>
          <w:bCs/>
          <w:sz w:val="24"/>
        </w:rPr>
        <w:t>包括但不限于：哲学、经济学、法学、管理学、语言学、社会学、心理学、人类学、传播学</w:t>
      </w:r>
      <w:r>
        <w:rPr>
          <w:rFonts w:ascii="仿宋" w:eastAsia="仿宋" w:hAnsi="仿宋" w:hint="eastAsia"/>
          <w:bCs/>
          <w:sz w:val="24"/>
        </w:rPr>
        <w:t>等学科领域的通识课程。</w:t>
      </w:r>
    </w:p>
    <w:p w:rsidR="00DC24D1" w:rsidRPr="004D0847" w:rsidRDefault="00DC24D1" w:rsidP="00DC24D1">
      <w:pPr>
        <w:pStyle w:val="a8"/>
        <w:numPr>
          <w:ilvl w:val="0"/>
          <w:numId w:val="17"/>
        </w:numPr>
        <w:snapToGrid w:val="0"/>
        <w:spacing w:line="360" w:lineRule="auto"/>
        <w:ind w:firstLineChars="0"/>
        <w:rPr>
          <w:rFonts w:ascii="仿宋" w:eastAsia="仿宋" w:hAnsi="仿宋"/>
          <w:b/>
          <w:bCs/>
          <w:sz w:val="24"/>
        </w:rPr>
      </w:pPr>
      <w:r w:rsidRPr="004D0847">
        <w:rPr>
          <w:rFonts w:ascii="仿宋" w:eastAsia="仿宋" w:hAnsi="仿宋" w:hint="eastAsia"/>
          <w:b/>
          <w:bCs/>
          <w:sz w:val="24"/>
        </w:rPr>
        <w:t>经典研读类</w:t>
      </w:r>
    </w:p>
    <w:p w:rsidR="00DC24D1" w:rsidRDefault="00BD025E" w:rsidP="00DC24D1">
      <w:pPr>
        <w:snapToGrid w:val="0"/>
        <w:spacing w:line="360" w:lineRule="auto"/>
        <w:ind w:firstLineChars="200" w:firstLine="480"/>
        <w:rPr>
          <w:rFonts w:ascii="仿宋" w:eastAsia="仿宋" w:hAnsi="仿宋"/>
          <w:bCs/>
          <w:sz w:val="24"/>
        </w:rPr>
      </w:pPr>
      <w:r>
        <w:rPr>
          <w:rFonts w:ascii="仿宋" w:eastAsia="仿宋" w:hAnsi="仿宋" w:hint="eastAsia"/>
          <w:bCs/>
          <w:sz w:val="24"/>
        </w:rPr>
        <w:t>涵盖哲学与社会科学</w:t>
      </w:r>
      <w:r w:rsidR="00DC24D1" w:rsidRPr="004D0847">
        <w:rPr>
          <w:rFonts w:ascii="仿宋" w:eastAsia="仿宋" w:hAnsi="仿宋" w:hint="eastAsia"/>
          <w:bCs/>
          <w:sz w:val="24"/>
        </w:rPr>
        <w:t>相关经典著作</w:t>
      </w:r>
      <w:r>
        <w:rPr>
          <w:rFonts w:ascii="仿宋" w:eastAsia="仿宋" w:hAnsi="仿宋" w:hint="eastAsia"/>
          <w:bCs/>
          <w:sz w:val="24"/>
        </w:rPr>
        <w:t>的研读类课程。</w:t>
      </w:r>
      <w:r w:rsidR="00DC24D1" w:rsidRPr="004D0847">
        <w:rPr>
          <w:rFonts w:ascii="仿宋" w:eastAsia="仿宋" w:hAnsi="仿宋" w:hint="eastAsia"/>
          <w:bCs/>
          <w:sz w:val="24"/>
        </w:rPr>
        <w:t>旨在了解人类历史和思想传统、洞悉人类思想智慧和见解、提升批判性思维和分析问题的能力。</w:t>
      </w:r>
    </w:p>
    <w:p w:rsidR="00DC24D1" w:rsidRPr="004D0847" w:rsidRDefault="00DC24D1" w:rsidP="00DC24D1">
      <w:pPr>
        <w:pStyle w:val="a8"/>
        <w:numPr>
          <w:ilvl w:val="0"/>
          <w:numId w:val="17"/>
        </w:numPr>
        <w:snapToGrid w:val="0"/>
        <w:spacing w:line="360" w:lineRule="auto"/>
        <w:ind w:firstLineChars="0"/>
        <w:rPr>
          <w:rFonts w:ascii="仿宋" w:eastAsia="仿宋" w:hAnsi="仿宋"/>
          <w:b/>
          <w:bCs/>
          <w:sz w:val="24"/>
        </w:rPr>
      </w:pPr>
      <w:r w:rsidRPr="004D0847">
        <w:rPr>
          <w:rFonts w:ascii="仿宋" w:eastAsia="仿宋" w:hAnsi="仿宋" w:hint="eastAsia"/>
          <w:b/>
          <w:bCs/>
          <w:sz w:val="24"/>
        </w:rPr>
        <w:t>哲学素养类</w:t>
      </w:r>
    </w:p>
    <w:p w:rsidR="00DC24D1" w:rsidRDefault="00BD025E" w:rsidP="00DC24D1">
      <w:pPr>
        <w:snapToGrid w:val="0"/>
        <w:spacing w:line="360" w:lineRule="auto"/>
        <w:ind w:firstLineChars="200" w:firstLine="480"/>
        <w:rPr>
          <w:rFonts w:ascii="仿宋" w:eastAsia="仿宋" w:hAnsi="仿宋"/>
          <w:bCs/>
          <w:sz w:val="24"/>
        </w:rPr>
      </w:pPr>
      <w:r>
        <w:rPr>
          <w:rFonts w:ascii="仿宋" w:eastAsia="仿宋" w:hAnsi="仿宋" w:hint="eastAsia"/>
          <w:bCs/>
          <w:sz w:val="24"/>
        </w:rPr>
        <w:t>涵盖“哲学导论类”“哲学史类”“应用哲学类”课程。</w:t>
      </w:r>
      <w:r w:rsidR="00DC24D1" w:rsidRPr="004D0847">
        <w:rPr>
          <w:rFonts w:ascii="仿宋" w:eastAsia="仿宋" w:hAnsi="仿宋" w:hint="eastAsia"/>
          <w:bCs/>
          <w:sz w:val="24"/>
        </w:rPr>
        <w:t>通过</w:t>
      </w:r>
      <w:r w:rsidR="00DC24D1" w:rsidRPr="004D0847">
        <w:rPr>
          <w:rFonts w:ascii="仿宋" w:eastAsia="仿宋" w:hAnsi="仿宋" w:hint="eastAsia"/>
          <w:b/>
          <w:bCs/>
          <w:sz w:val="24"/>
        </w:rPr>
        <w:t>“哲学导论类”</w:t>
      </w:r>
      <w:r w:rsidR="00DC24D1" w:rsidRPr="004D0847">
        <w:rPr>
          <w:rFonts w:ascii="仿宋" w:eastAsia="仿宋" w:hAnsi="仿宋" w:hint="eastAsia"/>
          <w:bCs/>
          <w:sz w:val="24"/>
        </w:rPr>
        <w:t>课程的学习，帮助学习者全面了解中外哲学、以及各个哲学分支学科不同的思维方式；通过</w:t>
      </w:r>
      <w:r w:rsidR="00DC24D1" w:rsidRPr="004D0847">
        <w:rPr>
          <w:rFonts w:ascii="仿宋" w:eastAsia="仿宋" w:hAnsi="仿宋" w:hint="eastAsia"/>
          <w:b/>
          <w:bCs/>
          <w:sz w:val="24"/>
        </w:rPr>
        <w:t>“哲学史类”</w:t>
      </w:r>
      <w:r w:rsidR="00DC24D1" w:rsidRPr="004D0847">
        <w:rPr>
          <w:rFonts w:ascii="仿宋" w:eastAsia="仿宋" w:hAnsi="仿宋" w:hint="eastAsia"/>
          <w:bCs/>
          <w:sz w:val="24"/>
        </w:rPr>
        <w:t>课程的学习，帮助学习者从历史的维</w:t>
      </w:r>
      <w:proofErr w:type="gramStart"/>
      <w:r w:rsidR="00DC24D1" w:rsidRPr="004D0847">
        <w:rPr>
          <w:rFonts w:ascii="仿宋" w:eastAsia="仿宋" w:hAnsi="仿宋" w:hint="eastAsia"/>
          <w:bCs/>
          <w:sz w:val="24"/>
        </w:rPr>
        <w:t>度全面</w:t>
      </w:r>
      <w:proofErr w:type="gramEnd"/>
      <w:r w:rsidR="00DC24D1" w:rsidRPr="004D0847">
        <w:rPr>
          <w:rFonts w:ascii="仿宋" w:eastAsia="仿宋" w:hAnsi="仿宋" w:hint="eastAsia"/>
          <w:bCs/>
          <w:sz w:val="24"/>
        </w:rPr>
        <w:t>理解哲学问题演进的逻辑，以及哲学之于人类文明的意义；通过</w:t>
      </w:r>
      <w:r w:rsidR="00DC24D1" w:rsidRPr="004D0847">
        <w:rPr>
          <w:rFonts w:ascii="仿宋" w:eastAsia="仿宋" w:hAnsi="仿宋" w:hint="eastAsia"/>
          <w:b/>
          <w:bCs/>
          <w:sz w:val="24"/>
        </w:rPr>
        <w:t>“应用类哲学”</w:t>
      </w:r>
      <w:r w:rsidR="00DC24D1" w:rsidRPr="004D0847">
        <w:rPr>
          <w:rFonts w:ascii="仿宋" w:eastAsia="仿宋" w:hAnsi="仿宋" w:hint="eastAsia"/>
          <w:bCs/>
          <w:sz w:val="24"/>
        </w:rPr>
        <w:t>课程的学习，</w:t>
      </w:r>
      <w:r w:rsidR="00DC24D1" w:rsidRPr="004D0847">
        <w:rPr>
          <w:rFonts w:ascii="仿宋" w:eastAsia="仿宋" w:hAnsi="仿宋" w:hint="eastAsia"/>
          <w:bCs/>
          <w:sz w:val="24"/>
        </w:rPr>
        <w:lastRenderedPageBreak/>
        <w:t>提升学习者在具体领域或问题中运用哲学思维分析问题和解决问题的能力。</w:t>
      </w:r>
    </w:p>
    <w:p w:rsidR="00DC24D1" w:rsidRPr="004D0847" w:rsidRDefault="00DC24D1" w:rsidP="00DC24D1">
      <w:pPr>
        <w:pStyle w:val="a8"/>
        <w:numPr>
          <w:ilvl w:val="0"/>
          <w:numId w:val="17"/>
        </w:numPr>
        <w:snapToGrid w:val="0"/>
        <w:spacing w:line="360" w:lineRule="auto"/>
        <w:ind w:firstLineChars="0"/>
        <w:rPr>
          <w:rFonts w:ascii="仿宋" w:eastAsia="仿宋" w:hAnsi="仿宋"/>
          <w:b/>
          <w:bCs/>
          <w:sz w:val="24"/>
        </w:rPr>
      </w:pPr>
      <w:r w:rsidRPr="004D0847">
        <w:rPr>
          <w:rFonts w:ascii="仿宋" w:eastAsia="仿宋" w:hAnsi="仿宋" w:hint="eastAsia"/>
          <w:b/>
          <w:bCs/>
          <w:sz w:val="24"/>
        </w:rPr>
        <w:t>经管素养类</w:t>
      </w:r>
    </w:p>
    <w:p w:rsidR="00DC24D1" w:rsidRDefault="008A6681" w:rsidP="00DC24D1">
      <w:pPr>
        <w:snapToGrid w:val="0"/>
        <w:spacing w:line="360" w:lineRule="auto"/>
        <w:ind w:firstLineChars="200" w:firstLine="480"/>
        <w:rPr>
          <w:rFonts w:ascii="仿宋" w:eastAsia="仿宋" w:hAnsi="仿宋"/>
          <w:bCs/>
          <w:sz w:val="24"/>
        </w:rPr>
      </w:pPr>
      <w:r>
        <w:rPr>
          <w:rFonts w:ascii="仿宋" w:eastAsia="仿宋" w:hAnsi="仿宋" w:hint="eastAsia"/>
          <w:bCs/>
          <w:sz w:val="24"/>
        </w:rPr>
        <w:t>涵盖经济、管理等学科相关通识教育课程。</w:t>
      </w:r>
      <w:r w:rsidR="00DC24D1" w:rsidRPr="004D0847">
        <w:rPr>
          <w:rFonts w:ascii="仿宋" w:eastAsia="仿宋" w:hAnsi="仿宋" w:hint="eastAsia"/>
          <w:bCs/>
          <w:sz w:val="24"/>
        </w:rPr>
        <w:t>旨在促进学生全面理解经济及管理科学的发展规律，形成对经济、管理政策和现实问题的独立思考能力和决策能力。让</w:t>
      </w:r>
      <w:r w:rsidR="00DC24D1">
        <w:rPr>
          <w:rFonts w:ascii="仿宋" w:eastAsia="仿宋" w:hAnsi="仿宋" w:hint="eastAsia"/>
          <w:bCs/>
          <w:sz w:val="24"/>
        </w:rPr>
        <w:t>学生</w:t>
      </w:r>
      <w:r w:rsidR="00DC24D1" w:rsidRPr="004D0847">
        <w:rPr>
          <w:rFonts w:ascii="仿宋" w:eastAsia="仿宋" w:hAnsi="仿宋" w:hint="eastAsia"/>
          <w:bCs/>
          <w:sz w:val="24"/>
        </w:rPr>
        <w:t>学会用经济学思维，管理学的方法分析、解决问题，培养当代大学生所必需的经济和管理综合素质。</w:t>
      </w:r>
    </w:p>
    <w:p w:rsidR="00DC24D1" w:rsidRPr="004D0847" w:rsidRDefault="00DC24D1" w:rsidP="00DC24D1">
      <w:pPr>
        <w:snapToGrid w:val="0"/>
        <w:spacing w:line="360" w:lineRule="auto"/>
        <w:ind w:firstLineChars="200" w:firstLine="482"/>
        <w:rPr>
          <w:rFonts w:ascii="仿宋" w:eastAsia="仿宋" w:hAnsi="仿宋"/>
          <w:b/>
          <w:bCs/>
          <w:sz w:val="24"/>
        </w:rPr>
      </w:pPr>
      <w:r w:rsidRPr="004D0847">
        <w:rPr>
          <w:rFonts w:ascii="仿宋" w:eastAsia="仿宋" w:hAnsi="仿宋" w:hint="eastAsia"/>
          <w:b/>
          <w:bCs/>
          <w:sz w:val="24"/>
        </w:rPr>
        <w:t>4．法治素养类</w:t>
      </w:r>
    </w:p>
    <w:p w:rsidR="00DC24D1" w:rsidRDefault="008A6681" w:rsidP="00DC24D1">
      <w:pPr>
        <w:snapToGrid w:val="0"/>
        <w:spacing w:line="360" w:lineRule="auto"/>
        <w:ind w:firstLineChars="200" w:firstLine="480"/>
        <w:rPr>
          <w:rFonts w:ascii="仿宋" w:eastAsia="仿宋" w:hAnsi="仿宋"/>
          <w:bCs/>
          <w:sz w:val="24"/>
        </w:rPr>
      </w:pPr>
      <w:r>
        <w:rPr>
          <w:rFonts w:ascii="仿宋" w:eastAsia="仿宋" w:hAnsi="仿宋" w:hint="eastAsia"/>
          <w:bCs/>
          <w:sz w:val="24"/>
        </w:rPr>
        <w:t>涵盖法学类通识教育课程。</w:t>
      </w:r>
      <w:r w:rsidR="00DC24D1" w:rsidRPr="004D0847">
        <w:rPr>
          <w:rFonts w:ascii="仿宋" w:eastAsia="仿宋" w:hAnsi="仿宋" w:hint="eastAsia"/>
          <w:bCs/>
          <w:sz w:val="24"/>
        </w:rPr>
        <w:t>旨在了解基本的法律知识，能够处理生活、工作中的一般法律问题；形成法律意识，培养法律思维方式，能够理性的看待、分析、解决相关问题；提高法治素养，形成自我完善的动力，成为能够适应法治社会的高素质公民。</w:t>
      </w:r>
    </w:p>
    <w:p w:rsidR="00DC24D1" w:rsidRPr="00DC24D1" w:rsidRDefault="00DC24D1" w:rsidP="00A17D14">
      <w:pPr>
        <w:snapToGrid w:val="0"/>
        <w:spacing w:line="360" w:lineRule="auto"/>
        <w:rPr>
          <w:rFonts w:ascii="黑体" w:eastAsia="黑体" w:hAnsi="黑体"/>
          <w:b/>
        </w:rPr>
        <w:sectPr w:rsidR="00DC24D1" w:rsidRPr="00DC24D1" w:rsidSect="00DE3DCF">
          <w:footerReference w:type="default" r:id="rId7"/>
          <w:pgSz w:w="11906" w:h="16838"/>
          <w:pgMar w:top="1440" w:right="1800" w:bottom="1440" w:left="1800" w:header="851" w:footer="992" w:gutter="0"/>
          <w:cols w:space="425"/>
          <w:docGrid w:type="lines" w:linePitch="312"/>
        </w:sectPr>
      </w:pPr>
    </w:p>
    <w:p w:rsidR="00A17D14" w:rsidRPr="005C4B77" w:rsidRDefault="00787827" w:rsidP="00945929">
      <w:pPr>
        <w:snapToGrid w:val="0"/>
        <w:spacing w:line="360" w:lineRule="auto"/>
        <w:ind w:firstLine="643"/>
        <w:jc w:val="center"/>
        <w:rPr>
          <w:rFonts w:ascii="黑体" w:eastAsia="黑体" w:hAnsi="黑体"/>
          <w:b/>
          <w:sz w:val="28"/>
        </w:rPr>
      </w:pPr>
      <w:r w:rsidRPr="005C4B77">
        <w:rPr>
          <w:rFonts w:ascii="黑体" w:eastAsia="黑体" w:hAnsi="黑体" w:hint="eastAsia"/>
          <w:b/>
          <w:sz w:val="28"/>
        </w:rPr>
        <w:lastRenderedPageBreak/>
        <w:t>人文艺术与文化传承</w:t>
      </w:r>
    </w:p>
    <w:p w:rsidR="002D3376" w:rsidRDefault="002D3376" w:rsidP="00945929">
      <w:pPr>
        <w:snapToGrid w:val="0"/>
        <w:spacing w:line="360" w:lineRule="auto"/>
        <w:ind w:firstLine="643"/>
        <w:jc w:val="center"/>
        <w:rPr>
          <w:rFonts w:ascii="黑体" w:eastAsia="黑体" w:hAnsi="黑体"/>
          <w:b/>
          <w:sz w:val="24"/>
        </w:rPr>
      </w:pPr>
    </w:p>
    <w:p w:rsidR="002D3376" w:rsidRPr="005C4B77" w:rsidRDefault="005C4B77" w:rsidP="005C4B77">
      <w:pPr>
        <w:pStyle w:val="a8"/>
        <w:numPr>
          <w:ilvl w:val="0"/>
          <w:numId w:val="21"/>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 xml:space="preserve"> </w:t>
      </w:r>
      <w:r w:rsidR="002D3376" w:rsidRPr="005C4B77">
        <w:rPr>
          <w:rFonts w:ascii="黑体" w:eastAsia="黑体" w:hAnsi="黑体" w:hint="eastAsia"/>
          <w:b/>
          <w:sz w:val="24"/>
        </w:rPr>
        <w:t>模块内涵</w:t>
      </w:r>
    </w:p>
    <w:p w:rsidR="002D3376" w:rsidRPr="004D0847" w:rsidRDefault="002D3376" w:rsidP="002D3376">
      <w:pPr>
        <w:snapToGrid w:val="0"/>
        <w:spacing w:line="360" w:lineRule="auto"/>
        <w:ind w:firstLineChars="200" w:firstLine="480"/>
        <w:jc w:val="left"/>
        <w:rPr>
          <w:rFonts w:ascii="黑体" w:eastAsia="黑体" w:hAnsi="黑体"/>
          <w:b/>
          <w:sz w:val="24"/>
        </w:rPr>
      </w:pPr>
      <w:r w:rsidRPr="004D0847">
        <w:rPr>
          <w:rFonts w:ascii="仿宋" w:eastAsia="仿宋" w:hAnsi="仿宋" w:hint="eastAsia"/>
          <w:bCs/>
          <w:sz w:val="24"/>
        </w:rPr>
        <w:t>旨在引导学生了解人文艺术知识的基本构成、</w:t>
      </w:r>
      <w:r w:rsidRPr="004D0847">
        <w:rPr>
          <w:rFonts w:ascii="仿宋" w:eastAsia="仿宋" w:hAnsi="仿宋"/>
          <w:bCs/>
          <w:sz w:val="24"/>
        </w:rPr>
        <w:t>培养学生人文精神、提高学生人文素养</w:t>
      </w:r>
      <w:r w:rsidRPr="004D0847">
        <w:rPr>
          <w:rFonts w:ascii="仿宋" w:eastAsia="仿宋" w:hAnsi="仿宋" w:hint="eastAsia"/>
          <w:bCs/>
          <w:sz w:val="24"/>
        </w:rPr>
        <w:t>和艺术修养。</w:t>
      </w:r>
      <w:r>
        <w:rPr>
          <w:rFonts w:ascii="仿宋" w:eastAsia="仿宋" w:hAnsi="仿宋" w:hint="eastAsia"/>
          <w:bCs/>
          <w:sz w:val="24"/>
        </w:rPr>
        <w:t>通过</w:t>
      </w:r>
      <w:r w:rsidRPr="004D0847">
        <w:rPr>
          <w:rFonts w:ascii="仿宋" w:eastAsia="仿宋" w:hAnsi="仿宋"/>
          <w:bCs/>
          <w:sz w:val="24"/>
        </w:rPr>
        <w:t>审美体验与实践，</w:t>
      </w:r>
      <w:r w:rsidRPr="004D0847">
        <w:rPr>
          <w:rFonts w:ascii="仿宋" w:eastAsia="仿宋" w:hAnsi="仿宋" w:hint="eastAsia"/>
          <w:bCs/>
          <w:sz w:val="24"/>
        </w:rPr>
        <w:t>提升学生的审美能力、理解能力和对话能力，</w:t>
      </w:r>
      <w:r w:rsidRPr="004D0847">
        <w:rPr>
          <w:rFonts w:ascii="仿宋" w:eastAsia="仿宋" w:hAnsi="仿宋"/>
          <w:bCs/>
          <w:sz w:val="24"/>
        </w:rPr>
        <w:t>提升学生的文化底蕴和精神气度，增强文化</w:t>
      </w:r>
      <w:r w:rsidRPr="004D0847">
        <w:rPr>
          <w:rFonts w:ascii="仿宋" w:eastAsia="仿宋" w:hAnsi="仿宋" w:hint="eastAsia"/>
          <w:bCs/>
          <w:sz w:val="24"/>
        </w:rPr>
        <w:t>自觉与</w:t>
      </w:r>
      <w:r w:rsidRPr="004D0847">
        <w:rPr>
          <w:rFonts w:ascii="仿宋" w:eastAsia="仿宋" w:hAnsi="仿宋"/>
          <w:bCs/>
          <w:sz w:val="24"/>
        </w:rPr>
        <w:t>自信</w:t>
      </w:r>
      <w:r w:rsidRPr="004D0847">
        <w:rPr>
          <w:rFonts w:ascii="仿宋" w:eastAsia="仿宋" w:hAnsi="仿宋" w:hint="eastAsia"/>
          <w:bCs/>
          <w:sz w:val="24"/>
        </w:rPr>
        <w:t>，自觉弘扬中华优秀传统文化。</w:t>
      </w:r>
    </w:p>
    <w:p w:rsidR="00787827" w:rsidRPr="005C4B77" w:rsidRDefault="005C4B77" w:rsidP="005C4B77">
      <w:pPr>
        <w:pStyle w:val="a8"/>
        <w:numPr>
          <w:ilvl w:val="0"/>
          <w:numId w:val="21"/>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 xml:space="preserve"> </w:t>
      </w:r>
      <w:r w:rsidR="00787827" w:rsidRPr="005C4B77">
        <w:rPr>
          <w:rFonts w:ascii="黑体" w:eastAsia="黑体" w:hAnsi="黑体" w:hint="eastAsia"/>
          <w:b/>
          <w:sz w:val="24"/>
        </w:rPr>
        <w:t>教学要求</w:t>
      </w:r>
    </w:p>
    <w:p w:rsidR="00787827" w:rsidRPr="004D0847" w:rsidRDefault="00787827" w:rsidP="00787827">
      <w:pPr>
        <w:snapToGrid w:val="0"/>
        <w:spacing w:line="360" w:lineRule="auto"/>
        <w:ind w:firstLineChars="200" w:firstLine="480"/>
        <w:rPr>
          <w:rFonts w:ascii="仿宋" w:eastAsia="仿宋" w:hAnsi="仿宋"/>
          <w:bCs/>
          <w:sz w:val="24"/>
        </w:rPr>
      </w:pPr>
      <w:r w:rsidRPr="004D0847">
        <w:rPr>
          <w:rFonts w:ascii="仿宋" w:eastAsia="仿宋" w:hAnsi="仿宋" w:hint="eastAsia"/>
          <w:bCs/>
          <w:sz w:val="24"/>
        </w:rPr>
        <w:t>本模块课程的设计应当传承弘扬中华文明，</w:t>
      </w:r>
      <w:proofErr w:type="gramStart"/>
      <w:r w:rsidRPr="004D0847">
        <w:rPr>
          <w:rFonts w:ascii="仿宋" w:eastAsia="仿宋" w:hAnsi="仿宋" w:hint="eastAsia"/>
          <w:bCs/>
          <w:sz w:val="24"/>
        </w:rPr>
        <w:t>融汇</w:t>
      </w:r>
      <w:proofErr w:type="gramEnd"/>
      <w:r w:rsidRPr="004D0847">
        <w:rPr>
          <w:rFonts w:ascii="仿宋" w:eastAsia="仿宋" w:hAnsi="仿宋" w:hint="eastAsia"/>
          <w:bCs/>
          <w:sz w:val="24"/>
        </w:rPr>
        <w:t>吸收世界文明，通古今之变，成一家之言，培养学生的人文情怀；通过对艺术形式的感知与探究，增强学生对美的理解与领悟，提升学生的审美素养。我们鼓励教师在课程设计时遵循以下原则：</w:t>
      </w:r>
    </w:p>
    <w:p w:rsidR="00787827" w:rsidRPr="004D0847" w:rsidRDefault="00787827" w:rsidP="00787827">
      <w:pPr>
        <w:snapToGrid w:val="0"/>
        <w:spacing w:line="360" w:lineRule="auto"/>
        <w:ind w:firstLineChars="200" w:firstLine="480"/>
        <w:rPr>
          <w:rFonts w:ascii="仿宋" w:eastAsia="仿宋" w:hAnsi="仿宋"/>
          <w:bCs/>
          <w:sz w:val="24"/>
        </w:rPr>
      </w:pPr>
      <w:r w:rsidRPr="004D0847">
        <w:rPr>
          <w:rFonts w:ascii="仿宋" w:eastAsia="仿宋" w:hAnsi="仿宋" w:hint="eastAsia"/>
          <w:bCs/>
          <w:sz w:val="24"/>
        </w:rPr>
        <w:t>1</w:t>
      </w:r>
      <w:r w:rsidRPr="004D0847">
        <w:rPr>
          <w:rFonts w:ascii="仿宋" w:eastAsia="仿宋" w:hAnsi="仿宋"/>
          <w:bCs/>
          <w:sz w:val="24"/>
        </w:rPr>
        <w:t>.无门槛</w:t>
      </w:r>
      <w:r w:rsidRPr="004D0847">
        <w:rPr>
          <w:rFonts w:ascii="仿宋" w:eastAsia="仿宋" w:hAnsi="仿宋" w:hint="eastAsia"/>
          <w:bCs/>
          <w:sz w:val="24"/>
        </w:rPr>
        <w:t>、</w:t>
      </w:r>
      <w:r w:rsidRPr="004D0847">
        <w:rPr>
          <w:rFonts w:ascii="仿宋" w:eastAsia="仿宋" w:hAnsi="仿宋"/>
          <w:bCs/>
          <w:sz w:val="24"/>
        </w:rPr>
        <w:t>有高度。</w:t>
      </w:r>
      <w:r w:rsidRPr="004D0847">
        <w:rPr>
          <w:rFonts w:ascii="仿宋" w:eastAsia="仿宋" w:hAnsi="仿宋" w:hint="eastAsia"/>
          <w:bCs/>
          <w:sz w:val="24"/>
        </w:rPr>
        <w:t xml:space="preserve"> 在设计课程内容与教学方式时，尽量降低学科门槛，不需注重学科整体性知识</w:t>
      </w:r>
      <w:r w:rsidR="009E6AED">
        <w:rPr>
          <w:rFonts w:ascii="仿宋" w:eastAsia="仿宋" w:hAnsi="仿宋" w:hint="eastAsia"/>
          <w:bCs/>
          <w:sz w:val="24"/>
        </w:rPr>
        <w:t>体系的传授，需要注重从关键问题出发，进行学科思维训练，引导学生</w:t>
      </w:r>
      <w:r w:rsidRPr="004D0847">
        <w:rPr>
          <w:rFonts w:ascii="仿宋" w:eastAsia="仿宋" w:hAnsi="仿宋" w:hint="eastAsia"/>
          <w:bCs/>
          <w:sz w:val="24"/>
        </w:rPr>
        <w:t>领悟进入某一领域的路径方法，并能在此基础上进行</w:t>
      </w:r>
      <w:r w:rsidRPr="004D0847">
        <w:rPr>
          <w:rFonts w:ascii="仿宋" w:eastAsia="仿宋" w:hAnsi="仿宋"/>
          <w:bCs/>
          <w:sz w:val="24"/>
        </w:rPr>
        <w:t>深度学习、有效研讨、学科交叉、师生互动</w:t>
      </w:r>
      <w:r w:rsidRPr="004D0847">
        <w:rPr>
          <w:rFonts w:ascii="仿宋" w:eastAsia="仿宋" w:hAnsi="仿宋" w:hint="eastAsia"/>
          <w:bCs/>
          <w:sz w:val="24"/>
        </w:rPr>
        <w:t>。</w:t>
      </w:r>
    </w:p>
    <w:p w:rsidR="00787827" w:rsidRPr="004D0847" w:rsidRDefault="00787827" w:rsidP="00787827">
      <w:pPr>
        <w:snapToGrid w:val="0"/>
        <w:spacing w:line="360" w:lineRule="auto"/>
        <w:ind w:firstLineChars="200" w:firstLine="480"/>
        <w:rPr>
          <w:rFonts w:ascii="仿宋" w:eastAsia="仿宋" w:hAnsi="仿宋"/>
          <w:bCs/>
          <w:sz w:val="24"/>
        </w:rPr>
      </w:pPr>
      <w:r w:rsidRPr="004D0847">
        <w:rPr>
          <w:rFonts w:ascii="仿宋" w:eastAsia="仿宋" w:hAnsi="仿宋" w:hint="eastAsia"/>
          <w:bCs/>
          <w:sz w:val="24"/>
        </w:rPr>
        <w:t>2.重</w:t>
      </w:r>
      <w:proofErr w:type="gramStart"/>
      <w:r w:rsidRPr="004D0847">
        <w:rPr>
          <w:rFonts w:ascii="仿宋" w:eastAsia="仿宋" w:hAnsi="仿宋" w:hint="eastAsia"/>
          <w:bCs/>
          <w:sz w:val="24"/>
        </w:rPr>
        <w:t>思辩</w:t>
      </w:r>
      <w:proofErr w:type="gramEnd"/>
      <w:r w:rsidRPr="004D0847">
        <w:rPr>
          <w:rFonts w:ascii="仿宋" w:eastAsia="仿宋" w:hAnsi="仿宋" w:hint="eastAsia"/>
          <w:bCs/>
          <w:sz w:val="24"/>
        </w:rPr>
        <w:t>、重体验。人文类课程应重视</w:t>
      </w:r>
      <w:proofErr w:type="gramStart"/>
      <w:r w:rsidRPr="004D0847">
        <w:rPr>
          <w:rFonts w:ascii="仿宋" w:eastAsia="仿宋" w:hAnsi="仿宋" w:hint="eastAsia"/>
          <w:bCs/>
          <w:sz w:val="24"/>
        </w:rPr>
        <w:t>思辩</w:t>
      </w:r>
      <w:proofErr w:type="gramEnd"/>
      <w:r w:rsidRPr="004D0847">
        <w:rPr>
          <w:rFonts w:ascii="仿宋" w:eastAsia="仿宋" w:hAnsi="仿宋" w:hint="eastAsia"/>
          <w:bCs/>
          <w:sz w:val="24"/>
        </w:rPr>
        <w:t>，文学艺术类课程应重视体验。</w:t>
      </w:r>
    </w:p>
    <w:p w:rsidR="00787827" w:rsidRPr="004D0847" w:rsidRDefault="00787827" w:rsidP="00787827">
      <w:pPr>
        <w:snapToGrid w:val="0"/>
        <w:spacing w:line="360" w:lineRule="auto"/>
        <w:ind w:firstLineChars="200" w:firstLine="480"/>
        <w:rPr>
          <w:rFonts w:ascii="仿宋" w:eastAsia="仿宋" w:hAnsi="仿宋"/>
          <w:bCs/>
          <w:sz w:val="24"/>
        </w:rPr>
      </w:pPr>
      <w:r w:rsidRPr="004D0847">
        <w:rPr>
          <w:rFonts w:ascii="仿宋" w:eastAsia="仿宋" w:hAnsi="仿宋" w:hint="eastAsia"/>
          <w:bCs/>
          <w:sz w:val="24"/>
        </w:rPr>
        <w:t>3.跨学科、多维度。在课程设计中，提倡采取跨学科的方式，跨院系、跨行业合作，为学生建构看待某一领域的跨学科的多维度视角。</w:t>
      </w:r>
    </w:p>
    <w:p w:rsidR="00787827" w:rsidRPr="005C4B77" w:rsidRDefault="005C4B77" w:rsidP="005C4B77">
      <w:pPr>
        <w:pStyle w:val="a8"/>
        <w:numPr>
          <w:ilvl w:val="0"/>
          <w:numId w:val="21"/>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 xml:space="preserve"> </w:t>
      </w:r>
      <w:r w:rsidR="00D33F26" w:rsidRPr="005C4B77">
        <w:rPr>
          <w:rFonts w:ascii="黑体" w:eastAsia="黑体" w:hAnsi="黑体" w:hint="eastAsia"/>
          <w:b/>
          <w:sz w:val="24"/>
        </w:rPr>
        <w:t>基本课程方向</w:t>
      </w:r>
    </w:p>
    <w:p w:rsidR="002D3376" w:rsidRPr="002D3376" w:rsidRDefault="002D3376" w:rsidP="002D3376">
      <w:pPr>
        <w:snapToGrid w:val="0"/>
        <w:spacing w:line="360" w:lineRule="auto"/>
        <w:ind w:firstLineChars="200" w:firstLine="480"/>
        <w:jc w:val="left"/>
        <w:rPr>
          <w:rFonts w:ascii="黑体" w:eastAsia="黑体" w:hAnsi="黑体"/>
          <w:b/>
        </w:rPr>
      </w:pPr>
      <w:r w:rsidRPr="002D3376">
        <w:rPr>
          <w:rFonts w:ascii="仿宋" w:eastAsia="仿宋" w:hAnsi="仿宋" w:hint="eastAsia"/>
          <w:bCs/>
          <w:sz w:val="24"/>
        </w:rPr>
        <w:t>包括但不限于：文学、艺术学、历史学等人文学科领域的通识课程（包括理论课与实操课）。</w:t>
      </w:r>
    </w:p>
    <w:p w:rsidR="00D33F26" w:rsidRPr="004D0847" w:rsidRDefault="001A1587" w:rsidP="001A1587">
      <w:pPr>
        <w:snapToGrid w:val="0"/>
        <w:spacing w:line="360" w:lineRule="auto"/>
        <w:ind w:firstLineChars="200" w:firstLine="482"/>
        <w:jc w:val="left"/>
        <w:rPr>
          <w:rFonts w:ascii="仿宋" w:eastAsia="仿宋" w:hAnsi="仿宋"/>
          <w:b/>
          <w:sz w:val="24"/>
        </w:rPr>
      </w:pPr>
      <w:r w:rsidRPr="004D0847">
        <w:rPr>
          <w:rFonts w:ascii="仿宋" w:eastAsia="仿宋" w:hAnsi="仿宋" w:hint="eastAsia"/>
          <w:b/>
          <w:sz w:val="24"/>
        </w:rPr>
        <w:t>1</w:t>
      </w:r>
      <w:r w:rsidRPr="004D0847">
        <w:rPr>
          <w:rFonts w:ascii="仿宋" w:eastAsia="仿宋" w:hAnsi="仿宋"/>
          <w:b/>
          <w:sz w:val="24"/>
        </w:rPr>
        <w:t>.</w:t>
      </w:r>
      <w:r w:rsidR="00D33F26" w:rsidRPr="004D0847">
        <w:rPr>
          <w:rFonts w:ascii="仿宋" w:eastAsia="仿宋" w:hAnsi="仿宋" w:hint="eastAsia"/>
          <w:b/>
          <w:sz w:val="24"/>
        </w:rPr>
        <w:t>文史类</w:t>
      </w:r>
    </w:p>
    <w:p w:rsidR="00D33F26" w:rsidRDefault="001D45F4" w:rsidP="00D33F26">
      <w:pPr>
        <w:snapToGrid w:val="0"/>
        <w:spacing w:line="360" w:lineRule="auto"/>
        <w:ind w:firstLineChars="200" w:firstLine="480"/>
        <w:jc w:val="left"/>
        <w:rPr>
          <w:rFonts w:ascii="仿宋" w:eastAsia="仿宋" w:hAnsi="仿宋"/>
          <w:bCs/>
          <w:sz w:val="24"/>
        </w:rPr>
      </w:pPr>
      <w:r>
        <w:rPr>
          <w:rFonts w:ascii="仿宋" w:eastAsia="仿宋" w:hAnsi="仿宋" w:hint="eastAsia"/>
          <w:bCs/>
          <w:sz w:val="24"/>
        </w:rPr>
        <w:t>涵盖</w:t>
      </w:r>
      <w:r w:rsidR="00D33F26" w:rsidRPr="004D0847">
        <w:rPr>
          <w:rFonts w:ascii="仿宋" w:eastAsia="仿宋" w:hAnsi="仿宋" w:hint="eastAsia"/>
          <w:bCs/>
          <w:sz w:val="24"/>
        </w:rPr>
        <w:t>培养学生人文精神，提升人文素养的课程，</w:t>
      </w:r>
      <w:r w:rsidR="00D33F26" w:rsidRPr="004D0847">
        <w:rPr>
          <w:rFonts w:ascii="仿宋" w:eastAsia="仿宋" w:hAnsi="仿宋"/>
          <w:bCs/>
          <w:sz w:val="24"/>
        </w:rPr>
        <w:t>旨在通过古今中外文学、历史、艺术等领域经典文献、思想的学习，提升学生的文化底蕴和精神气度，增强文化自信，习得和传承世界和中华优秀文化。</w:t>
      </w:r>
    </w:p>
    <w:p w:rsidR="00D33F26" w:rsidRPr="004D0847" w:rsidRDefault="001A1587" w:rsidP="001A1587">
      <w:pPr>
        <w:snapToGrid w:val="0"/>
        <w:spacing w:line="360" w:lineRule="auto"/>
        <w:ind w:firstLineChars="200" w:firstLine="482"/>
        <w:jc w:val="left"/>
        <w:rPr>
          <w:rFonts w:ascii="仿宋" w:eastAsia="仿宋" w:hAnsi="仿宋"/>
          <w:b/>
          <w:sz w:val="24"/>
        </w:rPr>
      </w:pPr>
      <w:r w:rsidRPr="004D0847">
        <w:rPr>
          <w:rFonts w:ascii="仿宋" w:eastAsia="仿宋" w:hAnsi="仿宋" w:hint="eastAsia"/>
          <w:b/>
          <w:sz w:val="24"/>
        </w:rPr>
        <w:t>2</w:t>
      </w:r>
      <w:r w:rsidRPr="004D0847">
        <w:rPr>
          <w:rFonts w:ascii="仿宋" w:eastAsia="仿宋" w:hAnsi="仿宋"/>
          <w:b/>
          <w:sz w:val="24"/>
        </w:rPr>
        <w:t>.</w:t>
      </w:r>
      <w:r w:rsidR="00D33F26" w:rsidRPr="004D0847">
        <w:rPr>
          <w:rFonts w:ascii="仿宋" w:eastAsia="仿宋" w:hAnsi="仿宋"/>
          <w:b/>
          <w:sz w:val="24"/>
        </w:rPr>
        <w:t>艺术类</w:t>
      </w:r>
    </w:p>
    <w:p w:rsidR="00787827" w:rsidRPr="004D0847" w:rsidRDefault="001D45F4" w:rsidP="00D33F26">
      <w:pPr>
        <w:snapToGrid w:val="0"/>
        <w:spacing w:line="360" w:lineRule="auto"/>
        <w:ind w:firstLineChars="200" w:firstLine="480"/>
        <w:rPr>
          <w:rFonts w:ascii="仿宋" w:eastAsia="仿宋" w:hAnsi="仿宋"/>
          <w:bCs/>
          <w:sz w:val="24"/>
        </w:rPr>
      </w:pPr>
      <w:r>
        <w:rPr>
          <w:rFonts w:ascii="仿宋" w:eastAsia="仿宋" w:hAnsi="仿宋" w:hint="eastAsia"/>
          <w:bCs/>
          <w:sz w:val="24"/>
        </w:rPr>
        <w:t>涵盖</w:t>
      </w:r>
      <w:r w:rsidR="00D33F26" w:rsidRPr="004D0847">
        <w:rPr>
          <w:rFonts w:ascii="仿宋" w:eastAsia="仿宋" w:hAnsi="仿宋" w:hint="eastAsia"/>
          <w:bCs/>
          <w:sz w:val="24"/>
        </w:rPr>
        <w:t>音乐、美术、书法、摄影</w:t>
      </w:r>
      <w:r w:rsidR="00284DA1" w:rsidRPr="004D0847">
        <w:rPr>
          <w:rFonts w:ascii="仿宋" w:eastAsia="仿宋" w:hAnsi="仿宋" w:hint="eastAsia"/>
          <w:bCs/>
          <w:sz w:val="24"/>
        </w:rPr>
        <w:t>、戏曲</w:t>
      </w:r>
      <w:r w:rsidR="00D33F26" w:rsidRPr="004D0847">
        <w:rPr>
          <w:rFonts w:ascii="仿宋" w:eastAsia="仿宋" w:hAnsi="仿宋" w:hint="eastAsia"/>
          <w:bCs/>
          <w:sz w:val="24"/>
        </w:rPr>
        <w:t>等相关</w:t>
      </w:r>
      <w:r w:rsidR="00284DA1" w:rsidRPr="004D0847">
        <w:rPr>
          <w:rFonts w:ascii="仿宋" w:eastAsia="仿宋" w:hAnsi="仿宋" w:hint="eastAsia"/>
          <w:bCs/>
          <w:sz w:val="24"/>
        </w:rPr>
        <w:t>艺术相关</w:t>
      </w:r>
      <w:r w:rsidR="00D33F26" w:rsidRPr="004D0847">
        <w:rPr>
          <w:rFonts w:ascii="仿宋" w:eastAsia="仿宋" w:hAnsi="仿宋" w:hint="eastAsia"/>
          <w:bCs/>
          <w:sz w:val="24"/>
        </w:rPr>
        <w:t>课程，</w:t>
      </w:r>
      <w:r w:rsidR="00D33F26" w:rsidRPr="004D0847">
        <w:rPr>
          <w:rFonts w:ascii="仿宋" w:eastAsia="仿宋" w:hAnsi="仿宋"/>
          <w:bCs/>
          <w:sz w:val="24"/>
        </w:rPr>
        <w:t>引导学生进行审美体验与实践，</w:t>
      </w:r>
      <w:r w:rsidR="00D33F26" w:rsidRPr="004D0847">
        <w:rPr>
          <w:rFonts w:ascii="仿宋" w:eastAsia="仿宋" w:hAnsi="仿宋" w:hint="eastAsia"/>
          <w:bCs/>
          <w:sz w:val="24"/>
        </w:rPr>
        <w:t>提升学生的审美能力、理解能力和对话能力。</w:t>
      </w:r>
    </w:p>
    <w:p w:rsidR="00B64367" w:rsidRPr="009E6AED" w:rsidRDefault="00B64367" w:rsidP="0024157F">
      <w:pPr>
        <w:snapToGrid w:val="0"/>
        <w:spacing w:line="360" w:lineRule="auto"/>
        <w:ind w:firstLine="643"/>
        <w:jc w:val="left"/>
        <w:rPr>
          <w:rFonts w:ascii="黑体" w:eastAsia="黑体" w:hAnsi="黑体"/>
          <w:b/>
        </w:rPr>
      </w:pPr>
    </w:p>
    <w:p w:rsidR="00A73D47" w:rsidRPr="005C4B77" w:rsidRDefault="00A73D47" w:rsidP="00B64367">
      <w:pPr>
        <w:snapToGrid w:val="0"/>
        <w:spacing w:line="360" w:lineRule="auto"/>
        <w:ind w:firstLine="643"/>
        <w:jc w:val="center"/>
        <w:rPr>
          <w:rFonts w:ascii="黑体" w:eastAsia="黑体" w:hAnsi="黑体"/>
          <w:b/>
          <w:sz w:val="28"/>
        </w:rPr>
      </w:pPr>
      <w:r w:rsidRPr="005C4B77">
        <w:rPr>
          <w:rFonts w:ascii="黑体" w:eastAsia="黑体" w:hAnsi="黑体" w:hint="eastAsia"/>
          <w:b/>
          <w:sz w:val="28"/>
        </w:rPr>
        <w:lastRenderedPageBreak/>
        <w:t>科学</w:t>
      </w:r>
      <w:r w:rsidR="003B6F86" w:rsidRPr="005C4B77">
        <w:rPr>
          <w:rFonts w:ascii="黑体" w:eastAsia="黑体" w:hAnsi="黑体" w:hint="eastAsia"/>
          <w:b/>
          <w:sz w:val="28"/>
        </w:rPr>
        <w:t>精神与工程素养</w:t>
      </w:r>
    </w:p>
    <w:p w:rsidR="002D3376" w:rsidRPr="005C4B77" w:rsidRDefault="002D3376" w:rsidP="005C4B77">
      <w:pPr>
        <w:pStyle w:val="a8"/>
        <w:numPr>
          <w:ilvl w:val="0"/>
          <w:numId w:val="22"/>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模块内涵</w:t>
      </w:r>
    </w:p>
    <w:p w:rsidR="002D3376" w:rsidRPr="004D0847" w:rsidRDefault="002D3376" w:rsidP="002D3376">
      <w:pPr>
        <w:snapToGrid w:val="0"/>
        <w:spacing w:line="360" w:lineRule="auto"/>
        <w:ind w:firstLineChars="200" w:firstLine="480"/>
        <w:rPr>
          <w:rFonts w:ascii="黑体" w:eastAsia="黑体" w:hAnsi="黑体"/>
          <w:b/>
          <w:sz w:val="24"/>
        </w:rPr>
      </w:pPr>
      <w:r>
        <w:rPr>
          <w:rFonts w:ascii="仿宋" w:eastAsia="仿宋" w:hAnsi="仿宋" w:hint="eastAsia"/>
          <w:sz w:val="24"/>
        </w:rPr>
        <w:t>旨在</w:t>
      </w:r>
      <w:r w:rsidR="00DE3DCF">
        <w:rPr>
          <w:rFonts w:ascii="仿宋" w:eastAsia="仿宋" w:hAnsi="仿宋" w:hint="eastAsia"/>
          <w:sz w:val="24"/>
        </w:rPr>
        <w:t>了解科学与技术发展史以及科技前沿问题，增强科学素养，提升</w:t>
      </w:r>
      <w:r w:rsidRPr="004D0847">
        <w:rPr>
          <w:rFonts w:ascii="仿宋" w:eastAsia="仿宋" w:hAnsi="仿宋" w:hint="eastAsia"/>
          <w:sz w:val="24"/>
        </w:rPr>
        <w:t>科学</w:t>
      </w:r>
      <w:r w:rsidR="00DE3DCF">
        <w:rPr>
          <w:rFonts w:ascii="仿宋" w:eastAsia="仿宋" w:hAnsi="仿宋" w:hint="eastAsia"/>
          <w:sz w:val="24"/>
        </w:rPr>
        <w:t>思维和技术创新的能力，帮助学生树立工匠精神和工程伦理意识，</w:t>
      </w:r>
      <w:r w:rsidRPr="004D0847">
        <w:rPr>
          <w:rFonts w:ascii="仿宋" w:eastAsia="仿宋" w:hAnsi="仿宋" w:hint="eastAsia"/>
          <w:sz w:val="24"/>
        </w:rPr>
        <w:t>逐步建立对于人类自</w:t>
      </w:r>
      <w:r w:rsidR="00DE3DCF">
        <w:rPr>
          <w:rFonts w:ascii="仿宋" w:eastAsia="仿宋" w:hAnsi="仿宋" w:hint="eastAsia"/>
          <w:sz w:val="24"/>
        </w:rPr>
        <w:t>身和世界的科学态度，塑造理性批判、数理逻辑、科学探索和求实创新</w:t>
      </w:r>
      <w:r w:rsidRPr="004D0847">
        <w:rPr>
          <w:rFonts w:ascii="仿宋" w:eastAsia="仿宋" w:hAnsi="仿宋" w:hint="eastAsia"/>
          <w:sz w:val="24"/>
        </w:rPr>
        <w:t>精神。</w:t>
      </w:r>
    </w:p>
    <w:p w:rsidR="00A73D47" w:rsidRPr="005C4B77" w:rsidRDefault="00A73D47" w:rsidP="005C4B77">
      <w:pPr>
        <w:pStyle w:val="a8"/>
        <w:numPr>
          <w:ilvl w:val="0"/>
          <w:numId w:val="22"/>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教学要求</w:t>
      </w:r>
    </w:p>
    <w:p w:rsidR="00A73D47" w:rsidRPr="004D0847" w:rsidRDefault="00A73D47" w:rsidP="003676DE">
      <w:pPr>
        <w:snapToGrid w:val="0"/>
        <w:spacing w:line="360" w:lineRule="auto"/>
        <w:ind w:firstLineChars="200" w:firstLine="480"/>
        <w:jc w:val="left"/>
        <w:rPr>
          <w:rFonts w:ascii="仿宋" w:eastAsia="仿宋" w:hAnsi="仿宋"/>
          <w:sz w:val="24"/>
        </w:rPr>
      </w:pPr>
      <w:r w:rsidRPr="004D0847">
        <w:rPr>
          <w:rFonts w:ascii="仿宋" w:eastAsia="仿宋" w:hAnsi="仿宋" w:hint="eastAsia"/>
          <w:sz w:val="24"/>
        </w:rPr>
        <w:t>本模块课程的设计应当突出科学</w:t>
      </w:r>
      <w:r w:rsidR="003B6F86" w:rsidRPr="004D0847">
        <w:rPr>
          <w:rFonts w:ascii="仿宋" w:eastAsia="仿宋" w:hAnsi="仿宋" w:hint="eastAsia"/>
          <w:sz w:val="24"/>
        </w:rPr>
        <w:t>精神与</w:t>
      </w:r>
      <w:r w:rsidR="00BC3BF3" w:rsidRPr="004D0847">
        <w:rPr>
          <w:rFonts w:ascii="仿宋" w:eastAsia="仿宋" w:hAnsi="仿宋" w:hint="eastAsia"/>
          <w:sz w:val="24"/>
        </w:rPr>
        <w:t>工程素养</w:t>
      </w:r>
      <w:r w:rsidRPr="004D0847">
        <w:rPr>
          <w:rFonts w:ascii="仿宋" w:eastAsia="仿宋" w:hAnsi="仿宋" w:hint="eastAsia"/>
          <w:sz w:val="24"/>
        </w:rPr>
        <w:t>的特色，强调对于前沿科学、科学</w:t>
      </w:r>
      <w:r w:rsidRPr="004D0847">
        <w:rPr>
          <w:rFonts w:ascii="仿宋" w:eastAsia="仿宋" w:hAnsi="仿宋"/>
          <w:sz w:val="24"/>
        </w:rPr>
        <w:t>视角</w:t>
      </w:r>
      <w:r w:rsidRPr="004D0847">
        <w:rPr>
          <w:rFonts w:ascii="仿宋" w:eastAsia="仿宋" w:hAnsi="仿宋" w:hint="eastAsia"/>
          <w:sz w:val="24"/>
        </w:rPr>
        <w:t>、</w:t>
      </w:r>
      <w:r w:rsidRPr="004D0847">
        <w:rPr>
          <w:rFonts w:ascii="仿宋" w:eastAsia="仿宋" w:hAnsi="仿宋"/>
          <w:sz w:val="24"/>
        </w:rPr>
        <w:t>科学</w:t>
      </w:r>
      <w:r w:rsidRPr="004D0847">
        <w:rPr>
          <w:rFonts w:ascii="仿宋" w:eastAsia="仿宋" w:hAnsi="仿宋" w:hint="eastAsia"/>
          <w:sz w:val="24"/>
        </w:rPr>
        <w:t>伦理</w:t>
      </w:r>
      <w:r w:rsidRPr="004D0847">
        <w:rPr>
          <w:rFonts w:ascii="仿宋" w:eastAsia="仿宋" w:hAnsi="仿宋"/>
          <w:sz w:val="24"/>
        </w:rPr>
        <w:t>等方面</w:t>
      </w:r>
      <w:r w:rsidRPr="004D0847">
        <w:rPr>
          <w:rFonts w:ascii="仿宋" w:eastAsia="仿宋" w:hAnsi="仿宋" w:hint="eastAsia"/>
          <w:sz w:val="24"/>
        </w:rPr>
        <w:t>的关注，引导学生运用科学的方法论去理解和分析相关</w:t>
      </w:r>
      <w:r w:rsidRPr="004D0847">
        <w:rPr>
          <w:rFonts w:ascii="仿宋" w:eastAsia="仿宋" w:hAnsi="仿宋"/>
          <w:sz w:val="24"/>
        </w:rPr>
        <w:t>问题</w:t>
      </w:r>
      <w:r w:rsidRPr="004D0847">
        <w:rPr>
          <w:rFonts w:ascii="仿宋" w:eastAsia="仿宋" w:hAnsi="仿宋" w:hint="eastAsia"/>
          <w:sz w:val="24"/>
        </w:rPr>
        <w:t>。因此我们鼓励教师在教学时需遵循以下三个原则：</w:t>
      </w:r>
    </w:p>
    <w:p w:rsidR="00A73D47" w:rsidRPr="004D0847" w:rsidRDefault="00A73D47" w:rsidP="00A73D47">
      <w:pPr>
        <w:snapToGrid w:val="0"/>
        <w:spacing w:line="360" w:lineRule="auto"/>
        <w:ind w:firstLineChars="200" w:firstLine="480"/>
        <w:rPr>
          <w:rFonts w:ascii="仿宋" w:eastAsia="仿宋" w:hAnsi="仿宋"/>
          <w:sz w:val="24"/>
        </w:rPr>
      </w:pPr>
      <w:r w:rsidRPr="004D0847">
        <w:rPr>
          <w:rFonts w:ascii="仿宋" w:eastAsia="仿宋" w:hAnsi="仿宋" w:hint="eastAsia"/>
          <w:sz w:val="24"/>
        </w:rPr>
        <w:t>1</w:t>
      </w:r>
      <w:r w:rsidRPr="004D0847">
        <w:rPr>
          <w:rFonts w:ascii="仿宋" w:eastAsia="仿宋" w:hAnsi="仿宋"/>
          <w:sz w:val="24"/>
        </w:rPr>
        <w:t>.</w:t>
      </w:r>
      <w:r w:rsidR="00A93859" w:rsidRPr="004D0847">
        <w:rPr>
          <w:rFonts w:ascii="仿宋" w:eastAsia="仿宋" w:hAnsi="仿宋" w:hint="eastAsia"/>
          <w:sz w:val="24"/>
        </w:rPr>
        <w:t>尽可能多采取跨学科的视角，鼓励跨院系、多教师联合开设课程</w:t>
      </w:r>
      <w:r w:rsidRPr="004D0847">
        <w:rPr>
          <w:rFonts w:ascii="仿宋" w:eastAsia="仿宋" w:hAnsi="仿宋" w:hint="eastAsia"/>
          <w:sz w:val="24"/>
        </w:rPr>
        <w:t>；</w:t>
      </w:r>
    </w:p>
    <w:p w:rsidR="00A73D47" w:rsidRPr="004D0847" w:rsidRDefault="00A73D47" w:rsidP="00A73D47">
      <w:pPr>
        <w:snapToGrid w:val="0"/>
        <w:spacing w:line="360" w:lineRule="auto"/>
        <w:ind w:firstLineChars="200" w:firstLine="480"/>
        <w:rPr>
          <w:rFonts w:ascii="仿宋" w:eastAsia="仿宋" w:hAnsi="仿宋"/>
          <w:sz w:val="24"/>
        </w:rPr>
      </w:pPr>
      <w:r w:rsidRPr="004D0847">
        <w:rPr>
          <w:rFonts w:ascii="仿宋" w:eastAsia="仿宋" w:hAnsi="仿宋" w:hint="eastAsia"/>
          <w:sz w:val="24"/>
        </w:rPr>
        <w:t>2</w:t>
      </w:r>
      <w:r w:rsidRPr="004D0847">
        <w:rPr>
          <w:rFonts w:ascii="仿宋" w:eastAsia="仿宋" w:hAnsi="仿宋"/>
          <w:sz w:val="24"/>
        </w:rPr>
        <w:t>.</w:t>
      </w:r>
      <w:r w:rsidRPr="004D0847">
        <w:rPr>
          <w:rFonts w:ascii="仿宋" w:eastAsia="仿宋" w:hAnsi="仿宋" w:hint="eastAsia"/>
          <w:sz w:val="24"/>
        </w:rPr>
        <w:t>渗透</w:t>
      </w:r>
      <w:r w:rsidRPr="004D0847">
        <w:rPr>
          <w:rFonts w:ascii="仿宋" w:eastAsia="仿宋" w:hAnsi="仿宋"/>
          <w:sz w:val="24"/>
        </w:rPr>
        <w:t>人文和</w:t>
      </w:r>
      <w:r w:rsidRPr="004D0847">
        <w:rPr>
          <w:rFonts w:ascii="仿宋" w:eastAsia="仿宋" w:hAnsi="仿宋" w:hint="eastAsia"/>
          <w:sz w:val="24"/>
        </w:rPr>
        <w:t>历史</w:t>
      </w:r>
      <w:r w:rsidRPr="004D0847">
        <w:rPr>
          <w:rFonts w:ascii="仿宋" w:eastAsia="仿宋" w:hAnsi="仿宋"/>
          <w:sz w:val="24"/>
        </w:rPr>
        <w:t>，</w:t>
      </w:r>
      <w:r w:rsidRPr="004D0847">
        <w:rPr>
          <w:rFonts w:ascii="仿宋" w:eastAsia="仿宋" w:hAnsi="仿宋" w:hint="eastAsia"/>
          <w:sz w:val="24"/>
        </w:rPr>
        <w:t>通过</w:t>
      </w:r>
      <w:r w:rsidRPr="004D0847">
        <w:rPr>
          <w:rFonts w:ascii="仿宋" w:eastAsia="仿宋" w:hAnsi="仿宋"/>
          <w:sz w:val="24"/>
        </w:rPr>
        <w:t>科学普及的方法介绍相关的工程案例、前沿知识；</w:t>
      </w:r>
    </w:p>
    <w:p w:rsidR="00A73D47" w:rsidRPr="004D0847" w:rsidRDefault="00A73D47" w:rsidP="002D3376">
      <w:pPr>
        <w:snapToGrid w:val="0"/>
        <w:spacing w:line="360" w:lineRule="auto"/>
        <w:ind w:firstLineChars="200" w:firstLine="480"/>
        <w:rPr>
          <w:rFonts w:ascii="仿宋" w:eastAsia="仿宋" w:hAnsi="仿宋"/>
          <w:sz w:val="24"/>
        </w:rPr>
      </w:pPr>
      <w:r w:rsidRPr="004D0847">
        <w:rPr>
          <w:rFonts w:ascii="仿宋" w:eastAsia="仿宋" w:hAnsi="仿宋"/>
          <w:sz w:val="24"/>
        </w:rPr>
        <w:t>3.</w:t>
      </w:r>
      <w:r w:rsidRPr="004D0847">
        <w:rPr>
          <w:rFonts w:ascii="仿宋" w:eastAsia="仿宋" w:hAnsi="仿宋" w:hint="eastAsia"/>
          <w:sz w:val="24"/>
        </w:rPr>
        <w:t>结合自己</w:t>
      </w:r>
      <w:r w:rsidRPr="004D0847">
        <w:rPr>
          <w:rFonts w:ascii="仿宋" w:eastAsia="仿宋" w:hAnsi="仿宋"/>
          <w:sz w:val="24"/>
        </w:rPr>
        <w:t>的本专业知识，</w:t>
      </w:r>
      <w:r w:rsidRPr="004D0847">
        <w:rPr>
          <w:rFonts w:ascii="仿宋" w:eastAsia="仿宋" w:hAnsi="仿宋" w:hint="eastAsia"/>
          <w:sz w:val="24"/>
        </w:rPr>
        <w:t>将</w:t>
      </w:r>
      <w:r w:rsidRPr="004D0847">
        <w:rPr>
          <w:rFonts w:ascii="仿宋" w:eastAsia="仿宋" w:hAnsi="仿宋"/>
          <w:sz w:val="24"/>
        </w:rPr>
        <w:t>知识充分落地，与科学素养和</w:t>
      </w:r>
      <w:r w:rsidRPr="004D0847">
        <w:rPr>
          <w:rFonts w:ascii="仿宋" w:eastAsia="仿宋" w:hAnsi="仿宋" w:hint="eastAsia"/>
          <w:sz w:val="24"/>
        </w:rPr>
        <w:t>技术</w:t>
      </w:r>
      <w:r w:rsidR="00A1429C">
        <w:rPr>
          <w:rFonts w:ascii="仿宋" w:eastAsia="仿宋" w:hAnsi="仿宋"/>
          <w:sz w:val="24"/>
        </w:rPr>
        <w:t>创新相结合</w:t>
      </w:r>
      <w:r w:rsidRPr="004D0847">
        <w:rPr>
          <w:rFonts w:ascii="仿宋" w:eastAsia="仿宋" w:hAnsi="仿宋"/>
          <w:sz w:val="24"/>
        </w:rPr>
        <w:t>。</w:t>
      </w:r>
    </w:p>
    <w:p w:rsidR="00A73D47" w:rsidRPr="005C4B77" w:rsidRDefault="00A73D47" w:rsidP="005C4B77">
      <w:pPr>
        <w:pStyle w:val="a8"/>
        <w:numPr>
          <w:ilvl w:val="0"/>
          <w:numId w:val="22"/>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基本课程</w:t>
      </w:r>
      <w:r w:rsidR="00B64367" w:rsidRPr="005C4B77">
        <w:rPr>
          <w:rFonts w:ascii="黑体" w:eastAsia="黑体" w:hAnsi="黑体" w:hint="eastAsia"/>
          <w:b/>
          <w:sz w:val="24"/>
        </w:rPr>
        <w:t>方向</w:t>
      </w:r>
    </w:p>
    <w:p w:rsidR="002D3376" w:rsidRPr="004D0847" w:rsidRDefault="002D3376" w:rsidP="000C0249">
      <w:pPr>
        <w:snapToGrid w:val="0"/>
        <w:spacing w:line="360" w:lineRule="auto"/>
        <w:jc w:val="left"/>
        <w:rPr>
          <w:rFonts w:ascii="黑体" w:eastAsia="黑体" w:hAnsi="黑体"/>
          <w:b/>
        </w:rPr>
      </w:pPr>
      <w:r>
        <w:rPr>
          <w:rFonts w:ascii="黑体" w:eastAsia="黑体" w:hAnsi="黑体" w:hint="eastAsia"/>
          <w:b/>
        </w:rPr>
        <w:t xml:space="preserve"> </w:t>
      </w:r>
      <w:r>
        <w:rPr>
          <w:rFonts w:ascii="黑体" w:eastAsia="黑体" w:hAnsi="黑体"/>
          <w:b/>
        </w:rPr>
        <w:t xml:space="preserve">   </w:t>
      </w:r>
      <w:r w:rsidRPr="004D0847">
        <w:rPr>
          <w:rFonts w:ascii="仿宋" w:eastAsia="仿宋" w:hAnsi="仿宋" w:hint="eastAsia"/>
          <w:sz w:val="24"/>
        </w:rPr>
        <w:t>包括但不限于：自然科学、工程技术、人工智能为引领的信息技术、</w:t>
      </w:r>
      <w:r w:rsidRPr="004D0847">
        <w:rPr>
          <w:rFonts w:ascii="仿宋" w:eastAsia="仿宋" w:hAnsi="仿宋"/>
          <w:sz w:val="24"/>
        </w:rPr>
        <w:t>生物技术、</w:t>
      </w:r>
      <w:r w:rsidRPr="004D0847">
        <w:rPr>
          <w:rFonts w:ascii="仿宋" w:eastAsia="仿宋" w:hAnsi="仿宋" w:hint="eastAsia"/>
          <w:sz w:val="24"/>
        </w:rPr>
        <w:t>创新创业</w:t>
      </w:r>
      <w:r w:rsidRPr="004D0847">
        <w:rPr>
          <w:rFonts w:ascii="仿宋" w:eastAsia="仿宋" w:hAnsi="仿宋"/>
          <w:sz w:val="24"/>
        </w:rPr>
        <w:t>，</w:t>
      </w:r>
      <w:r w:rsidRPr="004D0847">
        <w:rPr>
          <w:rFonts w:ascii="仿宋" w:eastAsia="仿宋" w:hAnsi="仿宋" w:hint="eastAsia"/>
          <w:sz w:val="24"/>
        </w:rPr>
        <w:t>以及若干重要科学与技术的思想基础和历史进程的课程。</w:t>
      </w:r>
    </w:p>
    <w:p w:rsidR="009E6AED" w:rsidRPr="00C547A5" w:rsidRDefault="009E6AED" w:rsidP="009E6AED">
      <w:pPr>
        <w:snapToGrid w:val="0"/>
        <w:spacing w:line="360" w:lineRule="auto"/>
        <w:ind w:firstLineChars="200" w:firstLine="482"/>
        <w:rPr>
          <w:rFonts w:ascii="仿宋" w:eastAsia="仿宋" w:hAnsi="仿宋"/>
          <w:b/>
          <w:sz w:val="24"/>
        </w:rPr>
      </w:pPr>
      <w:r w:rsidRPr="00C547A5">
        <w:rPr>
          <w:rFonts w:ascii="仿宋" w:eastAsia="仿宋" w:hAnsi="仿宋" w:hint="eastAsia"/>
          <w:b/>
          <w:sz w:val="24"/>
        </w:rPr>
        <w:t>1</w:t>
      </w:r>
      <w:r w:rsidRPr="00C547A5">
        <w:rPr>
          <w:rFonts w:ascii="仿宋" w:eastAsia="仿宋" w:hAnsi="仿宋"/>
          <w:b/>
          <w:sz w:val="24"/>
        </w:rPr>
        <w:t>.</w:t>
      </w:r>
      <w:r w:rsidRPr="00C547A5">
        <w:rPr>
          <w:rFonts w:ascii="仿宋" w:eastAsia="仿宋" w:hAnsi="仿宋" w:hint="eastAsia"/>
          <w:b/>
          <w:sz w:val="24"/>
        </w:rPr>
        <w:t>自然科学与人类文明</w:t>
      </w:r>
    </w:p>
    <w:p w:rsidR="009E6AED" w:rsidRPr="00C547A5" w:rsidRDefault="001D45F4" w:rsidP="009E6AED">
      <w:pPr>
        <w:snapToGrid w:val="0"/>
        <w:spacing w:line="360" w:lineRule="auto"/>
        <w:ind w:firstLineChars="200" w:firstLine="480"/>
        <w:rPr>
          <w:rFonts w:ascii="仿宋" w:eastAsia="仿宋" w:hAnsi="仿宋"/>
          <w:sz w:val="24"/>
        </w:rPr>
      </w:pPr>
      <w:r w:rsidRPr="00C547A5">
        <w:rPr>
          <w:rFonts w:ascii="仿宋" w:eastAsia="仿宋" w:hAnsi="仿宋" w:hint="eastAsia"/>
          <w:sz w:val="24"/>
        </w:rPr>
        <w:t>涵盖</w:t>
      </w:r>
      <w:r w:rsidR="009E6AED" w:rsidRPr="00C547A5">
        <w:rPr>
          <w:rFonts w:ascii="仿宋" w:eastAsia="仿宋" w:hAnsi="仿宋" w:hint="eastAsia"/>
          <w:sz w:val="24"/>
        </w:rPr>
        <w:t>数学、物理、化学</w:t>
      </w:r>
      <w:r w:rsidR="002D3376" w:rsidRPr="00C547A5">
        <w:rPr>
          <w:rFonts w:ascii="仿宋" w:eastAsia="仿宋" w:hAnsi="仿宋" w:hint="eastAsia"/>
          <w:sz w:val="24"/>
        </w:rPr>
        <w:t>等基础学科所对应的通识</w:t>
      </w:r>
      <w:r w:rsidR="009E6AED" w:rsidRPr="00C547A5">
        <w:rPr>
          <w:rFonts w:ascii="仿宋" w:eastAsia="仿宋" w:hAnsi="仿宋" w:hint="eastAsia"/>
          <w:sz w:val="24"/>
        </w:rPr>
        <w:t>课程，引导学生体会大自然之神秘，欣赏科学之美感，领悟科学精神，感受科学家的家国情怀，了解到这些自然科学门类在人类发展史上所起到的</w:t>
      </w:r>
      <w:r w:rsidRPr="00C547A5">
        <w:rPr>
          <w:rFonts w:ascii="仿宋" w:eastAsia="仿宋" w:hAnsi="仿宋" w:hint="eastAsia"/>
          <w:sz w:val="24"/>
        </w:rPr>
        <w:t>作用</w:t>
      </w:r>
      <w:r w:rsidR="009E6AED" w:rsidRPr="00C547A5">
        <w:rPr>
          <w:rFonts w:ascii="仿宋" w:eastAsia="仿宋" w:hAnsi="仿宋" w:hint="eastAsia"/>
          <w:sz w:val="24"/>
        </w:rPr>
        <w:t>。</w:t>
      </w:r>
    </w:p>
    <w:p w:rsidR="009E6AED" w:rsidRPr="00C547A5" w:rsidRDefault="009E6AED" w:rsidP="00742C38">
      <w:pPr>
        <w:snapToGrid w:val="0"/>
        <w:spacing w:line="360" w:lineRule="auto"/>
        <w:ind w:firstLine="495"/>
        <w:rPr>
          <w:rFonts w:ascii="仿宋" w:eastAsia="仿宋" w:hAnsi="仿宋"/>
          <w:b/>
          <w:sz w:val="24"/>
        </w:rPr>
      </w:pPr>
      <w:r w:rsidRPr="00C547A5">
        <w:rPr>
          <w:rFonts w:ascii="仿宋" w:eastAsia="仿宋" w:hAnsi="仿宋"/>
          <w:b/>
          <w:sz w:val="24"/>
        </w:rPr>
        <w:t>2.</w:t>
      </w:r>
      <w:r w:rsidRPr="00C547A5">
        <w:rPr>
          <w:rFonts w:ascii="仿宋" w:eastAsia="仿宋" w:hAnsi="仿宋" w:hint="eastAsia"/>
          <w:b/>
          <w:sz w:val="24"/>
        </w:rPr>
        <w:t>工程</w:t>
      </w:r>
      <w:r w:rsidR="002D3376" w:rsidRPr="00C547A5">
        <w:rPr>
          <w:rFonts w:ascii="仿宋" w:eastAsia="仿宋" w:hAnsi="仿宋" w:hint="eastAsia"/>
          <w:b/>
          <w:sz w:val="24"/>
        </w:rPr>
        <w:t>技术与前沿探索</w:t>
      </w:r>
    </w:p>
    <w:p w:rsidR="00DE3DCF" w:rsidRPr="00C547A5" w:rsidRDefault="001D45F4" w:rsidP="00DE3DCF">
      <w:pPr>
        <w:snapToGrid w:val="0"/>
        <w:spacing w:line="360" w:lineRule="auto"/>
        <w:ind w:firstLine="495"/>
        <w:rPr>
          <w:rFonts w:ascii="仿宋" w:eastAsia="仿宋" w:hAnsi="仿宋"/>
          <w:sz w:val="24"/>
        </w:rPr>
      </w:pPr>
      <w:r w:rsidRPr="00C547A5">
        <w:rPr>
          <w:rFonts w:ascii="仿宋" w:eastAsia="仿宋" w:hAnsi="仿宋" w:hint="eastAsia"/>
          <w:sz w:val="24"/>
        </w:rPr>
        <w:t>涵盖</w:t>
      </w:r>
      <w:r w:rsidR="00A1429C" w:rsidRPr="00C547A5">
        <w:rPr>
          <w:rFonts w:ascii="仿宋" w:eastAsia="仿宋" w:hAnsi="仿宋" w:hint="eastAsia"/>
          <w:sz w:val="24"/>
        </w:rPr>
        <w:t>工程技术原理、发展以及革新的课程。</w:t>
      </w:r>
      <w:r w:rsidR="00A1429C" w:rsidRPr="00C547A5">
        <w:rPr>
          <w:rFonts w:ascii="仿宋" w:eastAsia="仿宋" w:hAnsi="仿宋"/>
          <w:sz w:val="24"/>
        </w:rPr>
        <w:t>旨在通过了解工程技术发展史、工程技术前沿问题，探讨工程革新与技术进步对社会发展的影响以及技术如何推动社会进步，帮助学生树立基本的工程意识、工程伦理及</w:t>
      </w:r>
      <w:r w:rsidR="00A1429C" w:rsidRPr="00C547A5">
        <w:rPr>
          <w:rFonts w:ascii="仿宋" w:eastAsia="仿宋" w:hAnsi="仿宋" w:hint="eastAsia"/>
          <w:sz w:val="24"/>
        </w:rPr>
        <w:t>工匠精神。</w:t>
      </w:r>
    </w:p>
    <w:p w:rsidR="009E6AED" w:rsidRPr="00C547A5" w:rsidRDefault="00742C38" w:rsidP="00DE3DCF">
      <w:pPr>
        <w:snapToGrid w:val="0"/>
        <w:spacing w:line="360" w:lineRule="auto"/>
        <w:ind w:firstLine="495"/>
        <w:rPr>
          <w:rFonts w:ascii="仿宋" w:eastAsia="仿宋" w:hAnsi="仿宋"/>
          <w:b/>
          <w:sz w:val="24"/>
        </w:rPr>
      </w:pPr>
      <w:r w:rsidRPr="00C547A5">
        <w:rPr>
          <w:rFonts w:ascii="仿宋" w:eastAsia="仿宋" w:hAnsi="仿宋" w:hint="eastAsia"/>
          <w:b/>
          <w:sz w:val="24"/>
        </w:rPr>
        <w:t>3</w:t>
      </w:r>
      <w:r w:rsidRPr="00C547A5">
        <w:rPr>
          <w:rFonts w:ascii="仿宋" w:eastAsia="仿宋" w:hAnsi="仿宋"/>
          <w:b/>
          <w:sz w:val="24"/>
        </w:rPr>
        <w:t>.</w:t>
      </w:r>
      <w:r w:rsidRPr="00C547A5">
        <w:rPr>
          <w:rFonts w:ascii="仿宋" w:eastAsia="仿宋" w:hAnsi="仿宋" w:hint="eastAsia"/>
          <w:b/>
          <w:sz w:val="24"/>
        </w:rPr>
        <w:t>信息社会</w:t>
      </w:r>
      <w:r w:rsidR="009E6AED" w:rsidRPr="00C547A5">
        <w:rPr>
          <w:rFonts w:ascii="仿宋" w:eastAsia="仿宋" w:hAnsi="仿宋" w:hint="eastAsia"/>
          <w:b/>
          <w:sz w:val="24"/>
        </w:rPr>
        <w:t>与人工智能</w:t>
      </w:r>
    </w:p>
    <w:p w:rsidR="00284DA1" w:rsidRPr="00C547A5" w:rsidRDefault="001D45F4" w:rsidP="000F1B47">
      <w:pPr>
        <w:pStyle w:val="a8"/>
        <w:spacing w:line="360" w:lineRule="auto"/>
        <w:ind w:firstLine="480"/>
        <w:rPr>
          <w:rFonts w:ascii="仿宋" w:eastAsia="仿宋" w:hAnsi="仿宋"/>
          <w:sz w:val="24"/>
        </w:rPr>
      </w:pPr>
      <w:r w:rsidRPr="00C547A5">
        <w:rPr>
          <w:rFonts w:ascii="仿宋" w:eastAsia="仿宋" w:hAnsi="仿宋" w:hint="eastAsia"/>
          <w:sz w:val="24"/>
        </w:rPr>
        <w:t>涵盖</w:t>
      </w:r>
      <w:r w:rsidR="000F1B47" w:rsidRPr="00C547A5">
        <w:rPr>
          <w:rFonts w:ascii="仿宋" w:eastAsia="仿宋" w:hAnsi="仿宋"/>
          <w:sz w:val="24"/>
        </w:rPr>
        <w:t>系列关于人工智能基本思维、基本技能的基础课，和关于人工智能在不同领域的应用课，让学生了解人工智能在数字人文、数字经济、社会科学中的应用。</w:t>
      </w:r>
      <w:r w:rsidR="000F1B47" w:rsidRPr="00C547A5">
        <w:rPr>
          <w:rFonts w:ascii="仿宋" w:eastAsia="仿宋" w:hAnsi="仿宋" w:hint="eastAsia"/>
          <w:sz w:val="24"/>
        </w:rPr>
        <w:t>引导学生正确认识和理解我们所处的智能时代，提高学生对人工智能应用和发展的认知，能够从跨学科的视角思考人工智能伦理、治理以及人工智能与社会发展之间的关系。</w:t>
      </w:r>
    </w:p>
    <w:p w:rsidR="009D0DC9" w:rsidRPr="005C4B77" w:rsidRDefault="000C0249" w:rsidP="00945929">
      <w:pPr>
        <w:snapToGrid w:val="0"/>
        <w:spacing w:line="360" w:lineRule="auto"/>
        <w:ind w:firstLine="643"/>
        <w:jc w:val="center"/>
        <w:rPr>
          <w:rFonts w:ascii="黑体" w:eastAsia="黑体" w:hAnsi="黑体"/>
          <w:b/>
          <w:sz w:val="28"/>
        </w:rPr>
      </w:pPr>
      <w:r w:rsidRPr="005C4B77">
        <w:rPr>
          <w:rFonts w:ascii="黑体" w:eastAsia="黑体" w:hAnsi="黑体" w:hint="eastAsia"/>
          <w:b/>
          <w:sz w:val="28"/>
        </w:rPr>
        <w:lastRenderedPageBreak/>
        <w:t>全球视野与思维表达</w:t>
      </w:r>
    </w:p>
    <w:p w:rsidR="002D3376" w:rsidRPr="005C4B77" w:rsidRDefault="002D3376" w:rsidP="005C4B77">
      <w:pPr>
        <w:pStyle w:val="a8"/>
        <w:numPr>
          <w:ilvl w:val="0"/>
          <w:numId w:val="25"/>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模块内涵</w:t>
      </w:r>
    </w:p>
    <w:p w:rsidR="002D3376" w:rsidRPr="004D0847" w:rsidRDefault="00DE3DCF" w:rsidP="002D3376">
      <w:pPr>
        <w:snapToGrid w:val="0"/>
        <w:spacing w:line="360" w:lineRule="auto"/>
        <w:ind w:firstLine="643"/>
        <w:jc w:val="left"/>
        <w:rPr>
          <w:rFonts w:ascii="黑体" w:eastAsia="黑体" w:hAnsi="黑体"/>
          <w:b/>
          <w:sz w:val="24"/>
        </w:rPr>
      </w:pPr>
      <w:r w:rsidRPr="004D0847">
        <w:rPr>
          <w:rFonts w:ascii="仿宋" w:eastAsia="仿宋" w:hAnsi="仿宋" w:hint="eastAsia"/>
          <w:sz w:val="24"/>
        </w:rPr>
        <w:t>引导学生深入了解多元文明差异，建立学生对国际性问题的基础认知</w:t>
      </w:r>
      <w:r w:rsidRPr="004D0847">
        <w:rPr>
          <w:rFonts w:ascii="仿宋" w:eastAsia="仿宋" w:hAnsi="仿宋"/>
          <w:sz w:val="24"/>
        </w:rPr>
        <w:t>,使</w:t>
      </w:r>
      <w:r w:rsidRPr="004D0847">
        <w:rPr>
          <w:rFonts w:ascii="仿宋" w:eastAsia="仿宋" w:hAnsi="仿宋" w:hint="eastAsia"/>
          <w:sz w:val="24"/>
        </w:rPr>
        <w:t>学生</w:t>
      </w:r>
      <w:r w:rsidRPr="004D0847">
        <w:rPr>
          <w:rFonts w:ascii="仿宋" w:eastAsia="仿宋" w:hAnsi="仿宋" w:hint="eastAsia"/>
          <w:bCs/>
          <w:sz w:val="24"/>
        </w:rPr>
        <w:t>通晓国际规则</w:t>
      </w:r>
      <w:r>
        <w:rPr>
          <w:rFonts w:ascii="仿宋" w:eastAsia="仿宋" w:hAnsi="仿宋" w:hint="eastAsia"/>
          <w:sz w:val="24"/>
        </w:rPr>
        <w:t>，提升跨文化交流能力，</w:t>
      </w:r>
      <w:r w:rsidRPr="004D0847">
        <w:rPr>
          <w:rFonts w:ascii="仿宋" w:eastAsia="仿宋" w:hAnsi="仿宋" w:hint="eastAsia"/>
          <w:sz w:val="24"/>
        </w:rPr>
        <w:t>帮助学生更好地理解和应对复杂问题，进行高质量交流和合作，提高个人与团队的核心竞争力，尤其是复杂问题解决能力和持续创新能力。</w:t>
      </w:r>
    </w:p>
    <w:p w:rsidR="009D0DC9" w:rsidRPr="005C4B77" w:rsidRDefault="009D0DC9" w:rsidP="005C4B77">
      <w:pPr>
        <w:pStyle w:val="a8"/>
        <w:numPr>
          <w:ilvl w:val="0"/>
          <w:numId w:val="25"/>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教学要求</w:t>
      </w:r>
    </w:p>
    <w:p w:rsidR="009E6AED" w:rsidRPr="009E6AED" w:rsidRDefault="009E6AED" w:rsidP="009E6AED">
      <w:pPr>
        <w:snapToGrid w:val="0"/>
        <w:spacing w:line="440" w:lineRule="exact"/>
        <w:ind w:firstLineChars="200" w:firstLine="480"/>
        <w:rPr>
          <w:rFonts w:ascii="仿宋" w:eastAsia="仿宋" w:hAnsi="仿宋"/>
          <w:sz w:val="24"/>
        </w:rPr>
      </w:pPr>
      <w:r w:rsidRPr="009E6AED">
        <w:rPr>
          <w:rFonts w:ascii="仿宋" w:eastAsia="仿宋" w:hAnsi="仿宋" w:hint="eastAsia"/>
          <w:sz w:val="24"/>
        </w:rPr>
        <w:t>本模块课程的设计应当突出</w:t>
      </w:r>
      <w:r w:rsidRPr="00A1429C">
        <w:rPr>
          <w:rFonts w:ascii="仿宋" w:eastAsia="仿宋" w:hAnsi="仿宋" w:hint="eastAsia"/>
          <w:sz w:val="24"/>
        </w:rPr>
        <w:t>全球视野、高阶思维和精准表达</w:t>
      </w:r>
      <w:r w:rsidRPr="009E6AED">
        <w:rPr>
          <w:rFonts w:ascii="仿宋" w:eastAsia="仿宋" w:hAnsi="仿宋" w:hint="eastAsia"/>
          <w:sz w:val="24"/>
        </w:rPr>
        <w:t>，强调对于全球多元文明及人类个体思维</w:t>
      </w:r>
      <w:r w:rsidRPr="00A1429C">
        <w:rPr>
          <w:rFonts w:ascii="仿宋" w:eastAsia="仿宋" w:hAnsi="仿宋" w:hint="eastAsia"/>
          <w:sz w:val="24"/>
        </w:rPr>
        <w:t>与表达</w:t>
      </w:r>
      <w:r w:rsidRPr="009E6AED">
        <w:rPr>
          <w:rFonts w:ascii="仿宋" w:eastAsia="仿宋" w:hAnsi="仿宋" w:hint="eastAsia"/>
          <w:sz w:val="24"/>
        </w:rPr>
        <w:t>的关注，引导学生运用高阶思维去理解和分析全球化问题和复杂的社会问题。因此，我们鼓励教师在教学时需遵循以下原则：</w:t>
      </w:r>
    </w:p>
    <w:p w:rsidR="00A93859" w:rsidRPr="004D0847" w:rsidRDefault="00A93859" w:rsidP="00A93859">
      <w:pPr>
        <w:numPr>
          <w:ilvl w:val="0"/>
          <w:numId w:val="5"/>
        </w:numPr>
        <w:snapToGrid w:val="0"/>
        <w:spacing w:line="500" w:lineRule="exact"/>
        <w:ind w:firstLine="640"/>
        <w:rPr>
          <w:rFonts w:ascii="仿宋" w:eastAsia="仿宋" w:hAnsi="仿宋"/>
          <w:sz w:val="24"/>
        </w:rPr>
      </w:pPr>
      <w:r w:rsidRPr="004D0847">
        <w:rPr>
          <w:rFonts w:ascii="仿宋" w:eastAsia="仿宋" w:hAnsi="仿宋" w:hint="eastAsia"/>
          <w:sz w:val="24"/>
        </w:rPr>
        <w:t>打造跨学科品牌教学团队。鼓励跨院系或本院系内不同学科、不同专业、不同语言系统的多名教师联合开设课程，丰富课程内容、教学方法和教学手段，同时注重融入</w:t>
      </w:r>
      <w:proofErr w:type="gramStart"/>
      <w:r w:rsidRPr="004D0847">
        <w:rPr>
          <w:rFonts w:ascii="仿宋" w:eastAsia="仿宋" w:hAnsi="仿宋" w:hint="eastAsia"/>
          <w:sz w:val="24"/>
        </w:rPr>
        <w:t>课程思政元素</w:t>
      </w:r>
      <w:proofErr w:type="gramEnd"/>
      <w:r w:rsidRPr="004D0847">
        <w:rPr>
          <w:rFonts w:ascii="仿宋" w:eastAsia="仿宋" w:hAnsi="仿宋" w:hint="eastAsia"/>
          <w:sz w:val="24"/>
        </w:rPr>
        <w:t>，落实立德树人根本任务。</w:t>
      </w:r>
    </w:p>
    <w:p w:rsidR="00A93859" w:rsidRPr="004D0847" w:rsidRDefault="00A93859" w:rsidP="00A93859">
      <w:pPr>
        <w:numPr>
          <w:ilvl w:val="0"/>
          <w:numId w:val="5"/>
        </w:numPr>
        <w:snapToGrid w:val="0"/>
        <w:spacing w:line="500" w:lineRule="exact"/>
        <w:ind w:firstLine="640"/>
        <w:rPr>
          <w:rFonts w:ascii="仿宋" w:eastAsia="仿宋" w:hAnsi="仿宋"/>
          <w:sz w:val="24"/>
        </w:rPr>
      </w:pPr>
      <w:r w:rsidRPr="004D0847">
        <w:rPr>
          <w:rFonts w:ascii="仿宋" w:eastAsia="仿宋" w:hAnsi="仿宋" w:hint="eastAsia"/>
          <w:sz w:val="24"/>
        </w:rPr>
        <w:t>强化多元课堂互动模式。创设真实场景或虚拟仿真情境，有效激活师生互动和生生互动，以工作坊、无领导小组讨论、沉浸式体验、专题质疑研讨等多种课堂教学创新模式，帮助学生在课堂互动交流中提升思维力和表达力等综合素质。</w:t>
      </w:r>
    </w:p>
    <w:p w:rsidR="009D0DC9" w:rsidRPr="004D0847" w:rsidRDefault="00A93859" w:rsidP="00A93859">
      <w:pPr>
        <w:numPr>
          <w:ilvl w:val="0"/>
          <w:numId w:val="5"/>
        </w:numPr>
        <w:snapToGrid w:val="0"/>
        <w:spacing w:line="360" w:lineRule="auto"/>
        <w:ind w:firstLine="640"/>
        <w:rPr>
          <w:rFonts w:ascii="仿宋" w:eastAsia="仿宋" w:hAnsi="仿宋"/>
          <w:sz w:val="24"/>
        </w:rPr>
      </w:pPr>
      <w:r w:rsidRPr="004D0847">
        <w:rPr>
          <w:rFonts w:ascii="仿宋" w:eastAsia="仿宋" w:hAnsi="仿宋" w:hint="eastAsia"/>
          <w:sz w:val="24"/>
        </w:rPr>
        <w:t>兼顾形成性评价和终结性评价。注重评价的过程性、多样性、挑战性、包容性、实效性和系统性，以评价促教学，推动教学提质增效。</w:t>
      </w:r>
    </w:p>
    <w:p w:rsidR="002C23BB" w:rsidRPr="004D0847" w:rsidRDefault="002C23BB" w:rsidP="00A93859">
      <w:pPr>
        <w:numPr>
          <w:ilvl w:val="0"/>
          <w:numId w:val="5"/>
        </w:numPr>
        <w:snapToGrid w:val="0"/>
        <w:spacing w:line="360" w:lineRule="auto"/>
        <w:ind w:firstLine="640"/>
        <w:rPr>
          <w:rFonts w:ascii="仿宋" w:eastAsia="仿宋" w:hAnsi="仿宋"/>
          <w:sz w:val="24"/>
        </w:rPr>
      </w:pPr>
      <w:r w:rsidRPr="004D0847">
        <w:rPr>
          <w:rFonts w:ascii="仿宋" w:eastAsia="仿宋" w:hAnsi="仿宋" w:hint="eastAsia"/>
          <w:sz w:val="24"/>
        </w:rPr>
        <w:t>鼓励将大语言模型等人工智能技术融入课堂教学中。</w:t>
      </w:r>
    </w:p>
    <w:p w:rsidR="009D0DC9" w:rsidRPr="005C4B77" w:rsidRDefault="009D0DC9" w:rsidP="005C4B77">
      <w:pPr>
        <w:pStyle w:val="a8"/>
        <w:numPr>
          <w:ilvl w:val="0"/>
          <w:numId w:val="25"/>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基本课程</w:t>
      </w:r>
      <w:r w:rsidR="003676DE" w:rsidRPr="005C4B77">
        <w:rPr>
          <w:rFonts w:ascii="黑体" w:eastAsia="黑体" w:hAnsi="黑体" w:hint="eastAsia"/>
          <w:b/>
          <w:sz w:val="24"/>
        </w:rPr>
        <w:t>方向</w:t>
      </w:r>
    </w:p>
    <w:p w:rsidR="009D0DC9" w:rsidRPr="004D0847" w:rsidRDefault="009D0DC9" w:rsidP="009D0DC9">
      <w:pPr>
        <w:pStyle w:val="a8"/>
        <w:numPr>
          <w:ilvl w:val="255"/>
          <w:numId w:val="0"/>
        </w:numPr>
        <w:snapToGrid w:val="0"/>
        <w:spacing w:line="360" w:lineRule="auto"/>
        <w:ind w:firstLineChars="200" w:firstLine="480"/>
        <w:jc w:val="left"/>
        <w:rPr>
          <w:rFonts w:ascii="仿宋" w:eastAsia="仿宋" w:hAnsi="仿宋" w:cs="宋体"/>
          <w:kern w:val="0"/>
          <w:sz w:val="24"/>
          <w:szCs w:val="21"/>
        </w:rPr>
      </w:pPr>
      <w:r w:rsidRPr="004D0847">
        <w:rPr>
          <w:rFonts w:ascii="仿宋" w:eastAsia="仿宋" w:hAnsi="仿宋" w:cs="宋体" w:hint="eastAsia"/>
          <w:kern w:val="0"/>
          <w:sz w:val="24"/>
          <w:szCs w:val="21"/>
        </w:rPr>
        <w:t>1</w:t>
      </w:r>
      <w:r w:rsidRPr="004D0847">
        <w:rPr>
          <w:rFonts w:ascii="仿宋" w:eastAsia="仿宋" w:hAnsi="仿宋" w:cs="宋体"/>
          <w:kern w:val="0"/>
          <w:sz w:val="24"/>
          <w:szCs w:val="21"/>
        </w:rPr>
        <w:t>.</w:t>
      </w:r>
      <w:r w:rsidRPr="004D0847">
        <w:rPr>
          <w:rFonts w:ascii="仿宋" w:eastAsia="仿宋" w:hAnsi="仿宋" w:cs="宋体" w:hint="eastAsia"/>
          <w:b/>
          <w:kern w:val="0"/>
          <w:sz w:val="24"/>
          <w:szCs w:val="21"/>
        </w:rPr>
        <w:t>多元文化与国际关系</w:t>
      </w:r>
    </w:p>
    <w:p w:rsidR="009D0DC9" w:rsidRDefault="003676DE" w:rsidP="003676DE">
      <w:pPr>
        <w:pStyle w:val="a8"/>
        <w:numPr>
          <w:ilvl w:val="255"/>
          <w:numId w:val="0"/>
        </w:numPr>
        <w:snapToGrid w:val="0"/>
        <w:spacing w:line="360" w:lineRule="auto"/>
        <w:ind w:firstLineChars="200" w:firstLine="480"/>
        <w:jc w:val="left"/>
        <w:rPr>
          <w:rFonts w:ascii="仿宋" w:eastAsia="仿宋" w:hAnsi="仿宋"/>
          <w:sz w:val="24"/>
        </w:rPr>
      </w:pPr>
      <w:r w:rsidRPr="004D0847">
        <w:rPr>
          <w:rFonts w:ascii="仿宋" w:eastAsia="仿宋" w:hAnsi="仿宋" w:cs="宋体" w:hint="eastAsia"/>
          <w:kern w:val="0"/>
          <w:sz w:val="24"/>
          <w:szCs w:val="21"/>
        </w:rPr>
        <w:t>涵盖国际语言服务类课程、多元文化与国际关系类课程，</w:t>
      </w:r>
      <w:r w:rsidRPr="004D0847">
        <w:rPr>
          <w:rFonts w:ascii="仿宋" w:eastAsia="仿宋" w:hAnsi="仿宋" w:hint="eastAsia"/>
          <w:sz w:val="24"/>
        </w:rPr>
        <w:t>旨在拓展学生的全球视野，引导学生深入了解多元文明差异，建立学生对国际性问题的基础认知</w:t>
      </w:r>
      <w:r w:rsidRPr="004D0847">
        <w:rPr>
          <w:rFonts w:ascii="仿宋" w:eastAsia="仿宋" w:hAnsi="仿宋"/>
          <w:sz w:val="24"/>
        </w:rPr>
        <w:t>,使</w:t>
      </w:r>
      <w:r w:rsidRPr="004D0847">
        <w:rPr>
          <w:rFonts w:ascii="仿宋" w:eastAsia="仿宋" w:hAnsi="仿宋" w:hint="eastAsia"/>
          <w:sz w:val="24"/>
        </w:rPr>
        <w:t>学生</w:t>
      </w:r>
      <w:r w:rsidRPr="004D0847">
        <w:rPr>
          <w:rFonts w:ascii="仿宋" w:eastAsia="仿宋" w:hAnsi="仿宋" w:hint="eastAsia"/>
          <w:bCs/>
          <w:sz w:val="24"/>
        </w:rPr>
        <w:t>通晓国际规则</w:t>
      </w:r>
      <w:r w:rsidRPr="004D0847">
        <w:rPr>
          <w:rFonts w:ascii="仿宋" w:eastAsia="仿宋" w:hAnsi="仿宋" w:hint="eastAsia"/>
          <w:sz w:val="24"/>
        </w:rPr>
        <w:t>，提升跨文化交流能力。</w:t>
      </w:r>
    </w:p>
    <w:p w:rsidR="009D0DC9" w:rsidRPr="004D0847" w:rsidRDefault="009D0DC9" w:rsidP="009D0DC9">
      <w:pPr>
        <w:pStyle w:val="a8"/>
        <w:numPr>
          <w:ilvl w:val="255"/>
          <w:numId w:val="0"/>
        </w:numPr>
        <w:snapToGrid w:val="0"/>
        <w:spacing w:line="360" w:lineRule="auto"/>
        <w:ind w:firstLineChars="200" w:firstLine="482"/>
        <w:jc w:val="left"/>
        <w:rPr>
          <w:rFonts w:ascii="仿宋" w:eastAsia="仿宋" w:hAnsi="仿宋" w:cs="宋体"/>
          <w:b/>
          <w:kern w:val="0"/>
          <w:sz w:val="24"/>
          <w:szCs w:val="21"/>
        </w:rPr>
      </w:pPr>
      <w:r w:rsidRPr="004D0847">
        <w:rPr>
          <w:rFonts w:ascii="仿宋" w:eastAsia="仿宋" w:hAnsi="仿宋" w:cs="宋体"/>
          <w:b/>
          <w:kern w:val="0"/>
          <w:sz w:val="24"/>
          <w:szCs w:val="21"/>
        </w:rPr>
        <w:t>2.</w:t>
      </w:r>
      <w:r w:rsidRPr="004D0847">
        <w:rPr>
          <w:rFonts w:ascii="仿宋" w:eastAsia="仿宋" w:hAnsi="仿宋" w:cs="宋体" w:hint="eastAsia"/>
          <w:b/>
          <w:kern w:val="0"/>
          <w:sz w:val="24"/>
          <w:szCs w:val="21"/>
        </w:rPr>
        <w:t>高阶思维与精准表达</w:t>
      </w:r>
    </w:p>
    <w:p w:rsidR="003676DE" w:rsidRPr="004D0847" w:rsidRDefault="003676DE" w:rsidP="009D0DC9">
      <w:pPr>
        <w:pStyle w:val="a8"/>
        <w:numPr>
          <w:ilvl w:val="255"/>
          <w:numId w:val="0"/>
        </w:numPr>
        <w:snapToGrid w:val="0"/>
        <w:spacing w:line="360" w:lineRule="auto"/>
        <w:ind w:firstLineChars="200" w:firstLine="480"/>
        <w:jc w:val="left"/>
        <w:rPr>
          <w:rFonts w:ascii="仿宋" w:eastAsia="仿宋" w:hAnsi="仿宋"/>
          <w:sz w:val="24"/>
        </w:rPr>
      </w:pPr>
      <w:r w:rsidRPr="004D0847">
        <w:rPr>
          <w:rFonts w:ascii="仿宋" w:eastAsia="仿宋" w:hAnsi="仿宋" w:hint="eastAsia"/>
          <w:sz w:val="24"/>
        </w:rPr>
        <w:t>涵盖阅读与写作类课程、口头沟通表达类课程、思维与创新类课程，旨在通过对学生思维力、表达力、内省力、领导力</w:t>
      </w:r>
      <w:r w:rsidR="005C4B77">
        <w:rPr>
          <w:rFonts w:ascii="仿宋" w:eastAsia="仿宋" w:hAnsi="仿宋" w:hint="eastAsia"/>
          <w:sz w:val="24"/>
        </w:rPr>
        <w:t>的训练和提高，帮助学生更好地理解和应对复杂问题，进行高质量交流</w:t>
      </w:r>
      <w:r w:rsidRPr="004D0847">
        <w:rPr>
          <w:rFonts w:ascii="仿宋" w:eastAsia="仿宋" w:hAnsi="仿宋" w:hint="eastAsia"/>
          <w:sz w:val="24"/>
        </w:rPr>
        <w:t>合作，提高个人与团队的核心竞争力。</w:t>
      </w:r>
    </w:p>
    <w:p w:rsidR="00DE3DCF" w:rsidRPr="005C4B77" w:rsidRDefault="00BC3BF3" w:rsidP="00DE3DCF">
      <w:pPr>
        <w:snapToGrid w:val="0"/>
        <w:spacing w:line="360" w:lineRule="auto"/>
        <w:ind w:firstLine="643"/>
        <w:jc w:val="center"/>
        <w:rPr>
          <w:rFonts w:ascii="黑体" w:eastAsia="黑体" w:hAnsi="黑体"/>
          <w:b/>
          <w:sz w:val="28"/>
        </w:rPr>
      </w:pPr>
      <w:r w:rsidRPr="005C4B77">
        <w:rPr>
          <w:rFonts w:ascii="黑体" w:eastAsia="黑体" w:hAnsi="黑体" w:hint="eastAsia"/>
          <w:b/>
          <w:sz w:val="28"/>
        </w:rPr>
        <w:lastRenderedPageBreak/>
        <w:t>绿色发展</w:t>
      </w:r>
      <w:r w:rsidR="00B64367" w:rsidRPr="005C4B77">
        <w:rPr>
          <w:rFonts w:ascii="黑体" w:eastAsia="黑体" w:hAnsi="黑体" w:hint="eastAsia"/>
          <w:b/>
          <w:sz w:val="28"/>
        </w:rPr>
        <w:t>和生态文明</w:t>
      </w:r>
    </w:p>
    <w:p w:rsidR="00DE3DCF" w:rsidRPr="005C4B77" w:rsidRDefault="00DE3DCF" w:rsidP="005C4B77">
      <w:pPr>
        <w:pStyle w:val="a8"/>
        <w:numPr>
          <w:ilvl w:val="0"/>
          <w:numId w:val="26"/>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模块内涵</w:t>
      </w:r>
    </w:p>
    <w:p w:rsidR="00DE3DCF" w:rsidRDefault="00DE3DCF" w:rsidP="00DE3DCF">
      <w:pPr>
        <w:snapToGrid w:val="0"/>
        <w:spacing w:line="360" w:lineRule="auto"/>
        <w:ind w:firstLineChars="200" w:firstLine="480"/>
        <w:rPr>
          <w:rFonts w:ascii="黑体" w:eastAsia="黑体" w:hAnsi="黑体"/>
          <w:b/>
        </w:rPr>
      </w:pPr>
      <w:r w:rsidRPr="004D0847">
        <w:rPr>
          <w:rFonts w:ascii="仿宋" w:eastAsia="仿宋" w:hAnsi="仿宋" w:hint="eastAsia"/>
          <w:sz w:val="24"/>
        </w:rPr>
        <w:t>旨在引导学生了解绿色发展和生态文明等学科的基本</w:t>
      </w:r>
      <w:proofErr w:type="gramStart"/>
      <w:r w:rsidRPr="004D0847">
        <w:rPr>
          <w:rFonts w:ascii="仿宋" w:eastAsia="仿宋" w:hAnsi="仿宋" w:hint="eastAsia"/>
          <w:sz w:val="24"/>
        </w:rPr>
        <w:t>通识性知识</w:t>
      </w:r>
      <w:proofErr w:type="gramEnd"/>
      <w:r w:rsidRPr="004D0847">
        <w:rPr>
          <w:rFonts w:ascii="仿宋" w:eastAsia="仿宋" w:hAnsi="仿宋" w:hint="eastAsia"/>
          <w:sz w:val="24"/>
        </w:rPr>
        <w:t>，进行通俗化、大众化、普适化的学科前沿知识渗透</w:t>
      </w:r>
      <w:r>
        <w:rPr>
          <w:rFonts w:ascii="仿宋" w:eastAsia="仿宋" w:hAnsi="仿宋" w:hint="eastAsia"/>
          <w:sz w:val="24"/>
        </w:rPr>
        <w:t>，</w:t>
      </w:r>
      <w:r w:rsidRPr="004D0847">
        <w:rPr>
          <w:rFonts w:ascii="仿宋" w:eastAsia="仿宋" w:hAnsi="仿宋" w:hint="eastAsia"/>
          <w:sz w:val="24"/>
        </w:rPr>
        <w:t>培养对绿色发展、生态文明、生命科学等学科领域前沿热点问题的探知兴趣，提升绿色发展理念，生态</w:t>
      </w:r>
      <w:proofErr w:type="gramStart"/>
      <w:r w:rsidRPr="004D0847">
        <w:rPr>
          <w:rFonts w:ascii="仿宋" w:eastAsia="仿宋" w:hAnsi="仿宋" w:hint="eastAsia"/>
          <w:sz w:val="24"/>
        </w:rPr>
        <w:t>文明文化</w:t>
      </w:r>
      <w:proofErr w:type="gramEnd"/>
      <w:r w:rsidRPr="004D0847">
        <w:rPr>
          <w:rFonts w:ascii="仿宋" w:eastAsia="仿宋" w:hAnsi="仿宋" w:hint="eastAsia"/>
          <w:sz w:val="24"/>
        </w:rPr>
        <w:t>素养，养成以能源和生态文明等学科思维为视角，对诸多社会经济现象和问题进行分析的能力。</w:t>
      </w:r>
    </w:p>
    <w:p w:rsidR="00787827" w:rsidRPr="005C4B77" w:rsidRDefault="00787827" w:rsidP="005C4B77">
      <w:pPr>
        <w:pStyle w:val="a8"/>
        <w:numPr>
          <w:ilvl w:val="0"/>
          <w:numId w:val="26"/>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教学要求</w:t>
      </w:r>
    </w:p>
    <w:p w:rsidR="00787827" w:rsidRPr="004D0847" w:rsidRDefault="00787827" w:rsidP="00787827">
      <w:pPr>
        <w:snapToGrid w:val="0"/>
        <w:spacing w:line="360" w:lineRule="auto"/>
        <w:ind w:firstLineChars="200" w:firstLine="480"/>
        <w:jc w:val="left"/>
        <w:rPr>
          <w:rFonts w:ascii="仿宋" w:eastAsia="仿宋" w:hAnsi="仿宋"/>
          <w:sz w:val="24"/>
        </w:rPr>
      </w:pPr>
      <w:r w:rsidRPr="004D0847">
        <w:rPr>
          <w:rFonts w:ascii="仿宋" w:eastAsia="仿宋" w:hAnsi="仿宋" w:hint="eastAsia"/>
          <w:sz w:val="24"/>
        </w:rPr>
        <w:t>依照上述课程教学理念和目标，</w:t>
      </w:r>
      <w:r w:rsidR="00BC3BF3" w:rsidRPr="004D0847">
        <w:rPr>
          <w:rFonts w:ascii="仿宋" w:eastAsia="仿宋" w:hAnsi="仿宋" w:hint="eastAsia"/>
          <w:sz w:val="24"/>
        </w:rPr>
        <w:t>本模块课程的设计应当突出基于石油石化的校本特色，着眼于绿色发展</w:t>
      </w:r>
      <w:r w:rsidRPr="004D0847">
        <w:rPr>
          <w:rFonts w:ascii="仿宋" w:eastAsia="仿宋" w:hAnsi="仿宋" w:hint="eastAsia"/>
          <w:sz w:val="24"/>
        </w:rPr>
        <w:t>和生态文明建设，引导学生在学习相关学科知识的基础上，</w:t>
      </w:r>
      <w:r w:rsidR="008F7AD1" w:rsidRPr="004D0847">
        <w:rPr>
          <w:rFonts w:ascii="仿宋" w:eastAsia="仿宋" w:hAnsi="仿宋" w:hint="eastAsia"/>
          <w:sz w:val="24"/>
        </w:rPr>
        <w:t>关注</w:t>
      </w:r>
      <w:r w:rsidR="00BC3BF3" w:rsidRPr="004D0847">
        <w:rPr>
          <w:rFonts w:ascii="仿宋" w:eastAsia="仿宋" w:hAnsi="仿宋" w:hint="eastAsia"/>
          <w:sz w:val="24"/>
        </w:rPr>
        <w:t>绿色发展</w:t>
      </w:r>
      <w:r w:rsidR="008F7AD1" w:rsidRPr="004D0847">
        <w:rPr>
          <w:rFonts w:ascii="仿宋" w:eastAsia="仿宋" w:hAnsi="仿宋" w:hint="eastAsia"/>
          <w:sz w:val="24"/>
        </w:rPr>
        <w:t>和生态文明方面可持续发展相关问题，提升社会责任意识</w:t>
      </w:r>
      <w:r w:rsidRPr="004D0847">
        <w:rPr>
          <w:rFonts w:ascii="仿宋" w:eastAsia="仿宋" w:hAnsi="仿宋" w:hint="eastAsia"/>
          <w:sz w:val="24"/>
        </w:rPr>
        <w:t>。因此我们鼓励教师在教学时需遵循以下三个原则：</w:t>
      </w:r>
    </w:p>
    <w:p w:rsidR="00787827" w:rsidRPr="004D0847" w:rsidRDefault="00787827" w:rsidP="00787827">
      <w:pPr>
        <w:snapToGrid w:val="0"/>
        <w:spacing w:line="360" w:lineRule="auto"/>
        <w:ind w:firstLineChars="200" w:firstLine="480"/>
        <w:jc w:val="left"/>
        <w:rPr>
          <w:rFonts w:ascii="仿宋" w:eastAsia="仿宋" w:hAnsi="仿宋"/>
          <w:sz w:val="24"/>
        </w:rPr>
      </w:pPr>
      <w:r w:rsidRPr="004D0847">
        <w:rPr>
          <w:rFonts w:ascii="仿宋" w:eastAsia="仿宋" w:hAnsi="仿宋" w:hint="eastAsia"/>
          <w:sz w:val="24"/>
        </w:rPr>
        <w:t>1</w:t>
      </w:r>
      <w:r w:rsidRPr="004D0847">
        <w:rPr>
          <w:rFonts w:ascii="仿宋" w:eastAsia="仿宋" w:hAnsi="仿宋"/>
          <w:sz w:val="24"/>
        </w:rPr>
        <w:t>.</w:t>
      </w:r>
      <w:r w:rsidRPr="004D0847">
        <w:rPr>
          <w:rFonts w:ascii="仿宋" w:eastAsia="仿宋" w:hAnsi="仿宋" w:hint="eastAsia"/>
          <w:sz w:val="24"/>
        </w:rPr>
        <w:t>多采取跨学科的视角，鼓励跨院系、多教师联合开设课程；</w:t>
      </w:r>
    </w:p>
    <w:p w:rsidR="00787827" w:rsidRPr="004D0847" w:rsidRDefault="00787827" w:rsidP="00787827">
      <w:pPr>
        <w:snapToGrid w:val="0"/>
        <w:spacing w:line="360" w:lineRule="auto"/>
        <w:ind w:firstLineChars="200" w:firstLine="480"/>
        <w:jc w:val="left"/>
        <w:rPr>
          <w:rFonts w:ascii="仿宋" w:eastAsia="仿宋" w:hAnsi="仿宋"/>
          <w:sz w:val="24"/>
        </w:rPr>
      </w:pPr>
      <w:r w:rsidRPr="004D0847">
        <w:rPr>
          <w:rFonts w:ascii="仿宋" w:eastAsia="仿宋" w:hAnsi="仿宋" w:hint="eastAsia"/>
          <w:sz w:val="24"/>
        </w:rPr>
        <w:t>2</w:t>
      </w:r>
      <w:r w:rsidRPr="004D0847">
        <w:rPr>
          <w:rFonts w:ascii="仿宋" w:eastAsia="仿宋" w:hAnsi="仿宋"/>
          <w:sz w:val="24"/>
        </w:rPr>
        <w:t>.</w:t>
      </w:r>
      <w:r w:rsidRPr="004D0847">
        <w:rPr>
          <w:rFonts w:ascii="仿宋" w:eastAsia="仿宋" w:hAnsi="仿宋" w:hint="eastAsia"/>
          <w:sz w:val="24"/>
        </w:rPr>
        <w:t>课程设计和教学要更多地侧重于实际导向，在讲授相关学科基本知识的同时，要注重针对世界（尤其是中国）现实的</w:t>
      </w:r>
      <w:r w:rsidR="00BC3BF3" w:rsidRPr="004D0847">
        <w:rPr>
          <w:rFonts w:ascii="仿宋" w:eastAsia="仿宋" w:hAnsi="仿宋" w:hint="eastAsia"/>
          <w:sz w:val="24"/>
        </w:rPr>
        <w:t>绿色发展</w:t>
      </w:r>
      <w:r w:rsidRPr="004D0847">
        <w:rPr>
          <w:rFonts w:ascii="仿宋" w:eastAsia="仿宋" w:hAnsi="仿宋" w:hint="eastAsia"/>
          <w:sz w:val="24"/>
        </w:rPr>
        <w:t>和生态文明问题，突出现实关怀和时代使命；</w:t>
      </w:r>
    </w:p>
    <w:p w:rsidR="00787827" w:rsidRPr="004D0847" w:rsidRDefault="00787827" w:rsidP="00787827">
      <w:pPr>
        <w:snapToGrid w:val="0"/>
        <w:spacing w:line="360" w:lineRule="auto"/>
        <w:ind w:firstLineChars="200" w:firstLine="480"/>
        <w:jc w:val="left"/>
        <w:rPr>
          <w:rFonts w:ascii="仿宋" w:eastAsia="仿宋" w:hAnsi="仿宋"/>
          <w:sz w:val="24"/>
        </w:rPr>
      </w:pPr>
      <w:r w:rsidRPr="004D0847">
        <w:rPr>
          <w:rFonts w:ascii="仿宋" w:eastAsia="仿宋" w:hAnsi="仿宋"/>
          <w:sz w:val="24"/>
        </w:rPr>
        <w:t>3</w:t>
      </w:r>
      <w:r w:rsidRPr="004D0847">
        <w:rPr>
          <w:rFonts w:ascii="仿宋" w:eastAsia="仿宋" w:hAnsi="仿宋" w:hint="eastAsia"/>
          <w:sz w:val="24"/>
        </w:rPr>
        <w:t>.突出课程内容的</w:t>
      </w:r>
      <w:proofErr w:type="gramStart"/>
      <w:r w:rsidRPr="004D0847">
        <w:rPr>
          <w:rFonts w:ascii="仿宋" w:eastAsia="仿宋" w:hAnsi="仿宋" w:hint="eastAsia"/>
          <w:sz w:val="24"/>
        </w:rPr>
        <w:t>通识性和</w:t>
      </w:r>
      <w:proofErr w:type="gramEnd"/>
      <w:r w:rsidR="00BC3BF3" w:rsidRPr="004D0847">
        <w:rPr>
          <w:rFonts w:ascii="仿宋" w:eastAsia="仿宋" w:hAnsi="仿宋" w:hint="eastAsia"/>
          <w:sz w:val="24"/>
        </w:rPr>
        <w:t>普适性，既要注重绿色发展</w:t>
      </w:r>
      <w:r w:rsidRPr="004D0847">
        <w:rPr>
          <w:rFonts w:ascii="仿宋" w:eastAsia="仿宋" w:hAnsi="仿宋" w:hint="eastAsia"/>
          <w:sz w:val="24"/>
        </w:rPr>
        <w:t>和生态文明等学科的基本知识讲授，但又要避免陷入过于专业化的误区。所以，在课程内容设计和实际教学中，要更加突出能源文化、生态文明等学科的文化特质和历史发展，注重建构学生相关领域的宏观思维能力。</w:t>
      </w:r>
    </w:p>
    <w:p w:rsidR="00787827" w:rsidRPr="005C4B77" w:rsidRDefault="00787827" w:rsidP="005C4B77">
      <w:pPr>
        <w:pStyle w:val="a8"/>
        <w:numPr>
          <w:ilvl w:val="0"/>
          <w:numId w:val="26"/>
        </w:numPr>
        <w:snapToGrid w:val="0"/>
        <w:spacing w:line="360" w:lineRule="auto"/>
        <w:ind w:firstLineChars="0"/>
        <w:jc w:val="left"/>
        <w:rPr>
          <w:rFonts w:ascii="黑体" w:eastAsia="黑体" w:hAnsi="黑体"/>
          <w:b/>
          <w:sz w:val="24"/>
        </w:rPr>
      </w:pPr>
      <w:r w:rsidRPr="005C4B77">
        <w:rPr>
          <w:rFonts w:ascii="黑体" w:eastAsia="黑体" w:hAnsi="黑体" w:hint="eastAsia"/>
          <w:b/>
          <w:sz w:val="24"/>
        </w:rPr>
        <w:t>基本课程</w:t>
      </w:r>
      <w:r w:rsidR="003676DE" w:rsidRPr="005C4B77">
        <w:rPr>
          <w:rFonts w:ascii="黑体" w:eastAsia="黑体" w:hAnsi="黑体" w:hint="eastAsia"/>
          <w:b/>
          <w:sz w:val="24"/>
        </w:rPr>
        <w:t>方向</w:t>
      </w:r>
    </w:p>
    <w:p w:rsidR="00315859" w:rsidRPr="00A1429C" w:rsidRDefault="00315859" w:rsidP="00A1429C">
      <w:pPr>
        <w:pStyle w:val="a8"/>
        <w:numPr>
          <w:ilvl w:val="255"/>
          <w:numId w:val="0"/>
        </w:numPr>
        <w:snapToGrid w:val="0"/>
        <w:spacing w:line="360" w:lineRule="auto"/>
        <w:ind w:firstLineChars="200" w:firstLine="482"/>
        <w:rPr>
          <w:rFonts w:ascii="仿宋" w:eastAsia="仿宋" w:hAnsi="仿宋" w:cs="宋体"/>
          <w:b/>
          <w:kern w:val="0"/>
          <w:sz w:val="24"/>
          <w:szCs w:val="21"/>
        </w:rPr>
      </w:pPr>
      <w:r w:rsidRPr="00A1429C">
        <w:rPr>
          <w:rFonts w:ascii="仿宋" w:eastAsia="仿宋" w:hAnsi="仿宋" w:cs="宋体"/>
          <w:b/>
          <w:kern w:val="0"/>
          <w:sz w:val="24"/>
          <w:szCs w:val="21"/>
        </w:rPr>
        <w:t>1.</w:t>
      </w:r>
      <w:r w:rsidRPr="00A1429C">
        <w:rPr>
          <w:rFonts w:ascii="仿宋" w:eastAsia="仿宋" w:hAnsi="仿宋" w:cs="宋体" w:hint="eastAsia"/>
          <w:b/>
          <w:kern w:val="0"/>
          <w:sz w:val="24"/>
          <w:szCs w:val="21"/>
        </w:rPr>
        <w:t>绿色生态类</w:t>
      </w:r>
    </w:p>
    <w:p w:rsidR="00315859" w:rsidRPr="00DE3DCF" w:rsidRDefault="00315859" w:rsidP="00A1429C">
      <w:pPr>
        <w:snapToGrid w:val="0"/>
        <w:spacing w:line="360" w:lineRule="auto"/>
        <w:ind w:firstLineChars="200" w:firstLine="480"/>
        <w:rPr>
          <w:rFonts w:ascii="仿宋" w:eastAsia="仿宋" w:hAnsi="仿宋"/>
          <w:sz w:val="24"/>
        </w:rPr>
      </w:pPr>
      <w:r w:rsidRPr="00DE3DCF">
        <w:rPr>
          <w:rFonts w:ascii="仿宋" w:eastAsia="仿宋" w:hAnsi="仿宋" w:hint="eastAsia"/>
          <w:sz w:val="24"/>
        </w:rPr>
        <w:t>涵盖可以揭示绿色发展和生态文明领域诸多学科之于人类文明历史演进和各种文明生活方式变迁关系的各种课程，旨在帮助学生运用绿色发展和生态文明的思维，去分析各种文明形态及日常生活方式。</w:t>
      </w:r>
    </w:p>
    <w:p w:rsidR="00315859" w:rsidRPr="00A1429C" w:rsidRDefault="00315859" w:rsidP="00A1429C">
      <w:pPr>
        <w:pStyle w:val="a8"/>
        <w:numPr>
          <w:ilvl w:val="255"/>
          <w:numId w:val="0"/>
        </w:numPr>
        <w:snapToGrid w:val="0"/>
        <w:spacing w:line="360" w:lineRule="auto"/>
        <w:ind w:firstLineChars="200" w:firstLine="482"/>
        <w:rPr>
          <w:rFonts w:ascii="仿宋" w:eastAsia="仿宋" w:hAnsi="仿宋" w:cs="宋体"/>
          <w:b/>
          <w:kern w:val="0"/>
          <w:sz w:val="24"/>
          <w:szCs w:val="21"/>
        </w:rPr>
      </w:pPr>
      <w:r w:rsidRPr="00A1429C">
        <w:rPr>
          <w:rFonts w:ascii="仿宋" w:eastAsia="仿宋" w:hAnsi="仿宋" w:cs="宋体" w:hint="eastAsia"/>
          <w:b/>
          <w:kern w:val="0"/>
          <w:sz w:val="24"/>
          <w:szCs w:val="21"/>
        </w:rPr>
        <w:t>2</w:t>
      </w:r>
      <w:r w:rsidRPr="00A1429C">
        <w:rPr>
          <w:rFonts w:ascii="仿宋" w:eastAsia="仿宋" w:hAnsi="仿宋" w:cs="宋体"/>
          <w:b/>
          <w:kern w:val="0"/>
          <w:sz w:val="24"/>
          <w:szCs w:val="21"/>
        </w:rPr>
        <w:t>.</w:t>
      </w:r>
      <w:r w:rsidRPr="00A1429C">
        <w:rPr>
          <w:rFonts w:ascii="仿宋" w:eastAsia="仿宋" w:hAnsi="仿宋" w:cs="宋体" w:hint="eastAsia"/>
          <w:b/>
          <w:kern w:val="0"/>
          <w:sz w:val="24"/>
          <w:szCs w:val="21"/>
        </w:rPr>
        <w:t>碳中和类</w:t>
      </w:r>
    </w:p>
    <w:p w:rsidR="0024157F" w:rsidRPr="00DE3DCF" w:rsidRDefault="00BD025E" w:rsidP="00A1429C">
      <w:pPr>
        <w:snapToGrid w:val="0"/>
        <w:spacing w:line="360" w:lineRule="auto"/>
        <w:ind w:firstLineChars="200" w:firstLine="480"/>
        <w:rPr>
          <w:rFonts w:ascii="仿宋" w:eastAsia="仿宋" w:hAnsi="仿宋"/>
          <w:sz w:val="24"/>
        </w:rPr>
      </w:pPr>
      <w:r>
        <w:rPr>
          <w:rFonts w:ascii="仿宋" w:eastAsia="仿宋" w:hAnsi="仿宋" w:hint="eastAsia"/>
          <w:sz w:val="24"/>
        </w:rPr>
        <w:t>涵盖</w:t>
      </w:r>
      <w:r w:rsidR="00600A27">
        <w:rPr>
          <w:rFonts w:ascii="仿宋" w:eastAsia="仿宋" w:hAnsi="仿宋" w:hint="eastAsia"/>
          <w:sz w:val="24"/>
        </w:rPr>
        <w:t>绿色发展及生态文明领域诸学科，能源与未来、</w:t>
      </w:r>
      <w:r w:rsidR="005C4B77">
        <w:rPr>
          <w:rFonts w:ascii="仿宋" w:eastAsia="仿宋" w:hAnsi="仿宋" w:hint="eastAsia"/>
          <w:sz w:val="24"/>
        </w:rPr>
        <w:t>碳达峰碳中和相关</w:t>
      </w:r>
      <w:r w:rsidR="00315859" w:rsidRPr="00DE3DCF">
        <w:rPr>
          <w:rFonts w:ascii="仿宋" w:eastAsia="仿宋" w:hAnsi="仿宋" w:hint="eastAsia"/>
          <w:sz w:val="24"/>
        </w:rPr>
        <w:t>课程，试图通过通识性、普适性的知识讲授和问题探讨，启迪心智，打通与学生所学专业的知识壁垒，提升学生绿色发展和生态文明素养，树立全球命运共同体格局。</w:t>
      </w:r>
    </w:p>
    <w:sectPr w:rsidR="0024157F" w:rsidRPr="00DE3DCF" w:rsidSect="00A73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C7" w:rsidRDefault="00DB1EC7" w:rsidP="00A73D47">
      <w:r>
        <w:separator/>
      </w:r>
    </w:p>
  </w:endnote>
  <w:endnote w:type="continuationSeparator" w:id="0">
    <w:p w:rsidR="00DB1EC7" w:rsidRDefault="00DB1EC7" w:rsidP="00A7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伀做.."/>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264331"/>
      <w:docPartObj>
        <w:docPartGallery w:val="Page Numbers (Bottom of Page)"/>
        <w:docPartUnique/>
      </w:docPartObj>
    </w:sdtPr>
    <w:sdtEndPr/>
    <w:sdtContent>
      <w:p w:rsidR="00604235" w:rsidRDefault="00604235">
        <w:pPr>
          <w:pStyle w:val="a5"/>
          <w:jc w:val="center"/>
        </w:pPr>
        <w:r>
          <w:fldChar w:fldCharType="begin"/>
        </w:r>
        <w:r>
          <w:instrText>PAGE   \* MERGEFORMAT</w:instrText>
        </w:r>
        <w:r>
          <w:fldChar w:fldCharType="separate"/>
        </w:r>
        <w:r w:rsidR="00056A4A" w:rsidRPr="00056A4A">
          <w:rPr>
            <w:noProof/>
            <w:lang w:val="zh-CN"/>
          </w:rPr>
          <w:t>2</w:t>
        </w:r>
        <w:r>
          <w:fldChar w:fldCharType="end"/>
        </w:r>
      </w:p>
    </w:sdtContent>
  </w:sdt>
  <w:p w:rsidR="00604235" w:rsidRDefault="006042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C7" w:rsidRDefault="00DB1EC7" w:rsidP="00A73D47">
      <w:r>
        <w:separator/>
      </w:r>
    </w:p>
  </w:footnote>
  <w:footnote w:type="continuationSeparator" w:id="0">
    <w:p w:rsidR="00DB1EC7" w:rsidRDefault="00DB1EC7" w:rsidP="00A73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2CB0C2"/>
    <w:multiLevelType w:val="singleLevel"/>
    <w:tmpl w:val="9B2CB0C2"/>
    <w:lvl w:ilvl="0">
      <w:start w:val="2"/>
      <w:numFmt w:val="decimal"/>
      <w:lvlText w:val="%1."/>
      <w:lvlJc w:val="left"/>
      <w:pPr>
        <w:tabs>
          <w:tab w:val="left" w:pos="312"/>
        </w:tabs>
      </w:pPr>
    </w:lvl>
  </w:abstractNum>
  <w:abstractNum w:abstractNumId="1" w15:restartNumberingAfterBreak="0">
    <w:nsid w:val="ABD00073"/>
    <w:multiLevelType w:val="singleLevel"/>
    <w:tmpl w:val="ABD00073"/>
    <w:lvl w:ilvl="0">
      <w:start w:val="1"/>
      <w:numFmt w:val="decimal"/>
      <w:lvlText w:val="%1."/>
      <w:lvlJc w:val="left"/>
      <w:pPr>
        <w:tabs>
          <w:tab w:val="left" w:pos="312"/>
        </w:tabs>
      </w:pPr>
    </w:lvl>
  </w:abstractNum>
  <w:abstractNum w:abstractNumId="2" w15:restartNumberingAfterBreak="0">
    <w:nsid w:val="B94998BE"/>
    <w:multiLevelType w:val="singleLevel"/>
    <w:tmpl w:val="B94998BE"/>
    <w:lvl w:ilvl="0">
      <w:start w:val="1"/>
      <w:numFmt w:val="decimal"/>
      <w:suff w:val="space"/>
      <w:lvlText w:val="%1."/>
      <w:lvlJc w:val="left"/>
    </w:lvl>
  </w:abstractNum>
  <w:abstractNum w:abstractNumId="3" w15:restartNumberingAfterBreak="0">
    <w:nsid w:val="0A6870FA"/>
    <w:multiLevelType w:val="hybridMultilevel"/>
    <w:tmpl w:val="DF8A6966"/>
    <w:lvl w:ilvl="0" w:tplc="76CA929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765CC"/>
    <w:multiLevelType w:val="hybridMultilevel"/>
    <w:tmpl w:val="2BA018D0"/>
    <w:lvl w:ilvl="0" w:tplc="E5E64024">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15:restartNumberingAfterBreak="0">
    <w:nsid w:val="0FC93E3B"/>
    <w:multiLevelType w:val="hybridMultilevel"/>
    <w:tmpl w:val="E9DE99C4"/>
    <w:lvl w:ilvl="0" w:tplc="37D2057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771A8A"/>
    <w:multiLevelType w:val="hybridMultilevel"/>
    <w:tmpl w:val="E568553C"/>
    <w:lvl w:ilvl="0" w:tplc="2DC680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9D5A3C"/>
    <w:multiLevelType w:val="hybridMultilevel"/>
    <w:tmpl w:val="E220A162"/>
    <w:lvl w:ilvl="0" w:tplc="A69C22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A6594A"/>
    <w:multiLevelType w:val="hybridMultilevel"/>
    <w:tmpl w:val="5A8AF7C0"/>
    <w:lvl w:ilvl="0" w:tplc="CAD27D46">
      <w:start w:val="1"/>
      <w:numFmt w:val="decimal"/>
      <w:lvlText w:val="（%1）"/>
      <w:lvlJc w:val="left"/>
      <w:pPr>
        <w:ind w:left="1170" w:hanging="72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9" w15:restartNumberingAfterBreak="0">
    <w:nsid w:val="2B1B729E"/>
    <w:multiLevelType w:val="hybridMultilevel"/>
    <w:tmpl w:val="3652620A"/>
    <w:lvl w:ilvl="0" w:tplc="C22A369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E2005"/>
    <w:multiLevelType w:val="hybridMultilevel"/>
    <w:tmpl w:val="80803BF6"/>
    <w:lvl w:ilvl="0" w:tplc="684808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37732C"/>
    <w:multiLevelType w:val="hybridMultilevel"/>
    <w:tmpl w:val="82567CF6"/>
    <w:lvl w:ilvl="0" w:tplc="006C9EB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21906"/>
    <w:multiLevelType w:val="hybridMultilevel"/>
    <w:tmpl w:val="3EC69C62"/>
    <w:lvl w:ilvl="0" w:tplc="C7FA5F6C">
      <w:start w:val="3"/>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3" w15:restartNumberingAfterBreak="0">
    <w:nsid w:val="35647576"/>
    <w:multiLevelType w:val="hybridMultilevel"/>
    <w:tmpl w:val="1C207DCA"/>
    <w:lvl w:ilvl="0" w:tplc="5052C98E">
      <w:start w:val="1"/>
      <w:numFmt w:val="none"/>
      <w:lvlText w:val="一、"/>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22410"/>
    <w:multiLevelType w:val="hybridMultilevel"/>
    <w:tmpl w:val="8230E8C8"/>
    <w:lvl w:ilvl="0" w:tplc="D4DE0288">
      <w:start w:val="1"/>
      <w:numFmt w:val="decimal"/>
      <w:lvlText w:val="%1."/>
      <w:lvlJc w:val="left"/>
      <w:pPr>
        <w:ind w:left="842" w:hanging="36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5" w15:restartNumberingAfterBreak="0">
    <w:nsid w:val="3BF441F2"/>
    <w:multiLevelType w:val="multilevel"/>
    <w:tmpl w:val="3BF441F2"/>
    <w:lvl w:ilvl="0">
      <w:start w:val="1"/>
      <w:numFmt w:val="japaneseCounting"/>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6" w15:restartNumberingAfterBreak="0">
    <w:nsid w:val="428537FB"/>
    <w:multiLevelType w:val="hybridMultilevel"/>
    <w:tmpl w:val="F09C4BF2"/>
    <w:lvl w:ilvl="0" w:tplc="6DFA78A6">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7" w15:restartNumberingAfterBreak="0">
    <w:nsid w:val="4D876757"/>
    <w:multiLevelType w:val="hybridMultilevel"/>
    <w:tmpl w:val="D2243F68"/>
    <w:lvl w:ilvl="0" w:tplc="192ADA0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C15C88"/>
    <w:multiLevelType w:val="hybridMultilevel"/>
    <w:tmpl w:val="082E4208"/>
    <w:lvl w:ilvl="0" w:tplc="5D12E31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C60A4E"/>
    <w:multiLevelType w:val="hybridMultilevel"/>
    <w:tmpl w:val="629C53D6"/>
    <w:lvl w:ilvl="0" w:tplc="3F6A492A">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15:restartNumberingAfterBreak="0">
    <w:nsid w:val="58516689"/>
    <w:multiLevelType w:val="hybridMultilevel"/>
    <w:tmpl w:val="622004B0"/>
    <w:lvl w:ilvl="0" w:tplc="0B40EB2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0D0016"/>
    <w:multiLevelType w:val="hybridMultilevel"/>
    <w:tmpl w:val="66B24DF0"/>
    <w:lvl w:ilvl="0" w:tplc="F308FDAC">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D0730E"/>
    <w:multiLevelType w:val="hybridMultilevel"/>
    <w:tmpl w:val="BE2A0558"/>
    <w:lvl w:ilvl="0" w:tplc="13BC6652">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305109"/>
    <w:multiLevelType w:val="hybridMultilevel"/>
    <w:tmpl w:val="D090B416"/>
    <w:lvl w:ilvl="0" w:tplc="621E6F3C">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4" w15:restartNumberingAfterBreak="0">
    <w:nsid w:val="6F6659FE"/>
    <w:multiLevelType w:val="hybridMultilevel"/>
    <w:tmpl w:val="C5F49FC2"/>
    <w:lvl w:ilvl="0" w:tplc="B87AD0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5E563C"/>
    <w:multiLevelType w:val="hybridMultilevel"/>
    <w:tmpl w:val="FC84F6C8"/>
    <w:lvl w:ilvl="0" w:tplc="356249AE">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3"/>
  </w:num>
  <w:num w:numId="4">
    <w:abstractNumId w:val="21"/>
  </w:num>
  <w:num w:numId="5">
    <w:abstractNumId w:val="2"/>
  </w:num>
  <w:num w:numId="6">
    <w:abstractNumId w:val="0"/>
  </w:num>
  <w:num w:numId="7">
    <w:abstractNumId w:val="20"/>
  </w:num>
  <w:num w:numId="8">
    <w:abstractNumId w:val="25"/>
  </w:num>
  <w:num w:numId="9">
    <w:abstractNumId w:val="1"/>
  </w:num>
  <w:num w:numId="10">
    <w:abstractNumId w:val="17"/>
  </w:num>
  <w:num w:numId="11">
    <w:abstractNumId w:val="8"/>
  </w:num>
  <w:num w:numId="12">
    <w:abstractNumId w:val="23"/>
  </w:num>
  <w:num w:numId="13">
    <w:abstractNumId w:val="5"/>
  </w:num>
  <w:num w:numId="14">
    <w:abstractNumId w:val="14"/>
  </w:num>
  <w:num w:numId="15">
    <w:abstractNumId w:val="4"/>
  </w:num>
  <w:num w:numId="16">
    <w:abstractNumId w:val="16"/>
  </w:num>
  <w:num w:numId="17">
    <w:abstractNumId w:val="19"/>
  </w:num>
  <w:num w:numId="18">
    <w:abstractNumId w:val="12"/>
  </w:num>
  <w:num w:numId="19">
    <w:abstractNumId w:val="13"/>
  </w:num>
  <w:num w:numId="20">
    <w:abstractNumId w:val="22"/>
  </w:num>
  <w:num w:numId="21">
    <w:abstractNumId w:val="11"/>
  </w:num>
  <w:num w:numId="22">
    <w:abstractNumId w:val="6"/>
  </w:num>
  <w:num w:numId="23">
    <w:abstractNumId w:val="18"/>
  </w:num>
  <w:num w:numId="24">
    <w:abstractNumId w:val="7"/>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E2"/>
    <w:rsid w:val="0002072A"/>
    <w:rsid w:val="0003527C"/>
    <w:rsid w:val="0005585D"/>
    <w:rsid w:val="000564D1"/>
    <w:rsid w:val="00056A4A"/>
    <w:rsid w:val="000C0249"/>
    <w:rsid w:val="000C1E4D"/>
    <w:rsid w:val="000F1B47"/>
    <w:rsid w:val="000F78FE"/>
    <w:rsid w:val="00134DB8"/>
    <w:rsid w:val="00140C26"/>
    <w:rsid w:val="00170FCC"/>
    <w:rsid w:val="001A1587"/>
    <w:rsid w:val="001B38F9"/>
    <w:rsid w:val="001C2241"/>
    <w:rsid w:val="001D45F4"/>
    <w:rsid w:val="0024157F"/>
    <w:rsid w:val="00254671"/>
    <w:rsid w:val="0026045C"/>
    <w:rsid w:val="00284DA1"/>
    <w:rsid w:val="002B3DB8"/>
    <w:rsid w:val="002B5830"/>
    <w:rsid w:val="002C23BB"/>
    <w:rsid w:val="002D3376"/>
    <w:rsid w:val="00315859"/>
    <w:rsid w:val="0033738F"/>
    <w:rsid w:val="003676DE"/>
    <w:rsid w:val="00386F31"/>
    <w:rsid w:val="003A1E4F"/>
    <w:rsid w:val="003A66E2"/>
    <w:rsid w:val="003B6F86"/>
    <w:rsid w:val="003F782A"/>
    <w:rsid w:val="00435C41"/>
    <w:rsid w:val="004549A0"/>
    <w:rsid w:val="00485F44"/>
    <w:rsid w:val="004D0847"/>
    <w:rsid w:val="0057283D"/>
    <w:rsid w:val="005A49E4"/>
    <w:rsid w:val="005C4B77"/>
    <w:rsid w:val="00600A27"/>
    <w:rsid w:val="00604235"/>
    <w:rsid w:val="00631554"/>
    <w:rsid w:val="00641CA1"/>
    <w:rsid w:val="00695573"/>
    <w:rsid w:val="006C2DA8"/>
    <w:rsid w:val="00727B77"/>
    <w:rsid w:val="00742C38"/>
    <w:rsid w:val="00773C5D"/>
    <w:rsid w:val="007860D8"/>
    <w:rsid w:val="00787827"/>
    <w:rsid w:val="00792A47"/>
    <w:rsid w:val="007A3B05"/>
    <w:rsid w:val="007B13D6"/>
    <w:rsid w:val="007B68EE"/>
    <w:rsid w:val="007C3553"/>
    <w:rsid w:val="007C7A57"/>
    <w:rsid w:val="007E5D2B"/>
    <w:rsid w:val="00814EA6"/>
    <w:rsid w:val="008A0A75"/>
    <w:rsid w:val="008A208F"/>
    <w:rsid w:val="008A6681"/>
    <w:rsid w:val="008F7AD1"/>
    <w:rsid w:val="009171CB"/>
    <w:rsid w:val="00945929"/>
    <w:rsid w:val="009A7FE4"/>
    <w:rsid w:val="009D0DC9"/>
    <w:rsid w:val="009E2ACE"/>
    <w:rsid w:val="009E360E"/>
    <w:rsid w:val="009E6AED"/>
    <w:rsid w:val="009F0CF1"/>
    <w:rsid w:val="009F77DC"/>
    <w:rsid w:val="00A1429C"/>
    <w:rsid w:val="00A17D14"/>
    <w:rsid w:val="00A311B8"/>
    <w:rsid w:val="00A427E2"/>
    <w:rsid w:val="00A50A83"/>
    <w:rsid w:val="00A5511D"/>
    <w:rsid w:val="00A73D47"/>
    <w:rsid w:val="00A858A4"/>
    <w:rsid w:val="00A93859"/>
    <w:rsid w:val="00AB3188"/>
    <w:rsid w:val="00AD1381"/>
    <w:rsid w:val="00B34C4F"/>
    <w:rsid w:val="00B64367"/>
    <w:rsid w:val="00B8323A"/>
    <w:rsid w:val="00B92C66"/>
    <w:rsid w:val="00BC3BF3"/>
    <w:rsid w:val="00BD025E"/>
    <w:rsid w:val="00BF4919"/>
    <w:rsid w:val="00C02A48"/>
    <w:rsid w:val="00C318E8"/>
    <w:rsid w:val="00C428AD"/>
    <w:rsid w:val="00C547A5"/>
    <w:rsid w:val="00C66523"/>
    <w:rsid w:val="00C85E3F"/>
    <w:rsid w:val="00CA4A88"/>
    <w:rsid w:val="00D13FED"/>
    <w:rsid w:val="00D33F26"/>
    <w:rsid w:val="00D463DA"/>
    <w:rsid w:val="00D862ED"/>
    <w:rsid w:val="00DA02FA"/>
    <w:rsid w:val="00DA257D"/>
    <w:rsid w:val="00DA2F57"/>
    <w:rsid w:val="00DB1EC7"/>
    <w:rsid w:val="00DC24D1"/>
    <w:rsid w:val="00DD13F6"/>
    <w:rsid w:val="00DD5A96"/>
    <w:rsid w:val="00DE3DCF"/>
    <w:rsid w:val="00E0477F"/>
    <w:rsid w:val="00E37E1F"/>
    <w:rsid w:val="00F25824"/>
    <w:rsid w:val="00F311ED"/>
    <w:rsid w:val="00F43618"/>
    <w:rsid w:val="00F568FF"/>
    <w:rsid w:val="00F63DEA"/>
    <w:rsid w:val="00F64B6E"/>
    <w:rsid w:val="00FA3EC0"/>
    <w:rsid w:val="00FC0121"/>
    <w:rsid w:val="00FC4B98"/>
    <w:rsid w:val="00FE1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48696"/>
  <w15:chartTrackingRefBased/>
  <w15:docId w15:val="{1BB2C0F3-0BA1-41F1-8689-B9C872C7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3D4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73D47"/>
    <w:rPr>
      <w:sz w:val="18"/>
      <w:szCs w:val="18"/>
    </w:rPr>
  </w:style>
  <w:style w:type="paragraph" w:styleId="a5">
    <w:name w:val="footer"/>
    <w:basedOn w:val="a"/>
    <w:link w:val="a6"/>
    <w:uiPriority w:val="99"/>
    <w:unhideWhenUsed/>
    <w:rsid w:val="00A73D47"/>
    <w:pPr>
      <w:tabs>
        <w:tab w:val="center" w:pos="4153"/>
        <w:tab w:val="right" w:pos="8306"/>
      </w:tabs>
      <w:snapToGrid w:val="0"/>
      <w:jc w:val="left"/>
    </w:pPr>
    <w:rPr>
      <w:sz w:val="18"/>
      <w:szCs w:val="18"/>
    </w:rPr>
  </w:style>
  <w:style w:type="character" w:customStyle="1" w:styleId="a6">
    <w:name w:val="页脚 字符"/>
    <w:basedOn w:val="a0"/>
    <w:link w:val="a5"/>
    <w:uiPriority w:val="99"/>
    <w:rsid w:val="00A73D47"/>
    <w:rPr>
      <w:sz w:val="18"/>
      <w:szCs w:val="18"/>
    </w:rPr>
  </w:style>
  <w:style w:type="table" w:styleId="a7">
    <w:name w:val="Table Grid"/>
    <w:basedOn w:val="a1"/>
    <w:uiPriority w:val="39"/>
    <w:rsid w:val="00A73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73D47"/>
    <w:pPr>
      <w:ind w:firstLineChars="200" w:firstLine="420"/>
    </w:pPr>
  </w:style>
  <w:style w:type="paragraph" w:customStyle="1" w:styleId="a9">
    <w:basedOn w:val="a"/>
    <w:next w:val="a8"/>
    <w:uiPriority w:val="34"/>
    <w:qFormat/>
    <w:rsid w:val="000C0249"/>
    <w:pPr>
      <w:spacing w:line="560" w:lineRule="exact"/>
      <w:ind w:firstLineChars="200" w:firstLine="420"/>
    </w:pPr>
    <w:rPr>
      <w:rFonts w:ascii="仿宋_GB2312" w:eastAsia="仿宋_GB2312" w:hAnsi="等线" w:cs="Times New Roman"/>
      <w:sz w:val="32"/>
    </w:rPr>
  </w:style>
  <w:style w:type="paragraph" w:styleId="aa">
    <w:name w:val="Balloon Text"/>
    <w:basedOn w:val="a"/>
    <w:link w:val="ab"/>
    <w:uiPriority w:val="99"/>
    <w:semiHidden/>
    <w:unhideWhenUsed/>
    <w:rsid w:val="00FE1832"/>
    <w:rPr>
      <w:sz w:val="18"/>
      <w:szCs w:val="18"/>
    </w:rPr>
  </w:style>
  <w:style w:type="character" w:customStyle="1" w:styleId="ab">
    <w:name w:val="批注框文本 字符"/>
    <w:basedOn w:val="a0"/>
    <w:link w:val="aa"/>
    <w:uiPriority w:val="99"/>
    <w:semiHidden/>
    <w:rsid w:val="00FE18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TotalTime>
  <Pages>1</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57</cp:revision>
  <cp:lastPrinted>2024-05-15T09:31:00Z</cp:lastPrinted>
  <dcterms:created xsi:type="dcterms:W3CDTF">2023-06-26T08:25:00Z</dcterms:created>
  <dcterms:modified xsi:type="dcterms:W3CDTF">2024-11-07T06:34:00Z</dcterms:modified>
</cp:coreProperties>
</file>